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4CB" w:rsidRDefault="00C924CB" w:rsidP="008507E2">
      <w:pPr>
        <w:pStyle w:val="Heading2"/>
        <w:spacing w:before="0" w:beforeAutospacing="0" w:after="0" w:afterAutospacing="0"/>
        <w:ind w:left="284"/>
        <w:rPr>
          <w:color w:val="7030A0"/>
          <w:sz w:val="24"/>
          <w:szCs w:val="24"/>
        </w:rPr>
      </w:pPr>
      <w:r w:rsidRPr="00C924CB">
        <w:rPr>
          <w:noProof/>
          <w:color w:val="7030A0"/>
          <w:sz w:val="24"/>
          <w:szCs w:val="24"/>
          <w:lang w:bidi="bn-IN"/>
        </w:rPr>
        <w:drawing>
          <wp:inline distT="0" distB="0" distL="0" distR="0">
            <wp:extent cx="6757063" cy="9761361"/>
            <wp:effectExtent l="19050" t="0" r="5687" b="0"/>
            <wp:docPr id="1" name="Picture 1"/>
            <wp:cNvGraphicFramePr/>
            <a:graphic xmlns:a="http://schemas.openxmlformats.org/drawingml/2006/main">
              <a:graphicData uri="http://schemas.openxmlformats.org/drawingml/2006/picture">
                <pic:pic xmlns:pic="http://schemas.openxmlformats.org/drawingml/2006/picture">
                  <pic:nvPicPr>
                    <pic:cNvPr id="0" name="a_clean_white_page_document_cover_design_overall.png"/>
                    <pic:cNvPicPr/>
                  </pic:nvPicPr>
                  <pic:blipFill>
                    <a:blip r:embed="rId8"/>
                    <a:stretch>
                      <a:fillRect/>
                    </a:stretch>
                  </pic:blipFill>
                  <pic:spPr>
                    <a:xfrm>
                      <a:off x="0" y="0"/>
                      <a:ext cx="6759561" cy="9764970"/>
                    </a:xfrm>
                    <a:prstGeom prst="rect">
                      <a:avLst/>
                    </a:prstGeom>
                  </pic:spPr>
                </pic:pic>
              </a:graphicData>
            </a:graphic>
          </wp:inline>
        </w:drawing>
      </w:r>
    </w:p>
    <w:p w:rsidR="00BE0448" w:rsidRDefault="00BE0448" w:rsidP="009E4AB8">
      <w:pPr>
        <w:pStyle w:val="Heading2"/>
        <w:spacing w:before="0" w:beforeAutospacing="0" w:after="0" w:afterAutospacing="0"/>
        <w:ind w:left="284"/>
        <w:jc w:val="center"/>
        <w:rPr>
          <w:color w:val="7030A0"/>
          <w:sz w:val="24"/>
          <w:szCs w:val="24"/>
        </w:rPr>
      </w:pPr>
    </w:p>
    <w:p w:rsidR="002E70EE" w:rsidRPr="003167BB" w:rsidRDefault="009E4AB8" w:rsidP="009E4AB8">
      <w:pPr>
        <w:pStyle w:val="Heading2"/>
        <w:spacing w:before="0" w:beforeAutospacing="0" w:after="0" w:afterAutospacing="0"/>
        <w:ind w:left="284"/>
        <w:jc w:val="center"/>
        <w:rPr>
          <w:color w:val="7030A0"/>
          <w:sz w:val="24"/>
          <w:szCs w:val="24"/>
        </w:rPr>
      </w:pPr>
      <w:r w:rsidRPr="003167BB">
        <w:rPr>
          <w:color w:val="7030A0"/>
          <w:sz w:val="24"/>
          <w:szCs w:val="24"/>
        </w:rPr>
        <w:t xml:space="preserve">COUNTRY PROFILE REPORT OF ITJ DIVISION, DGCI&amp;S </w:t>
      </w:r>
    </w:p>
    <w:p w:rsidR="009E4AB8" w:rsidRPr="003167BB" w:rsidRDefault="009E4AB8" w:rsidP="009E4AB8">
      <w:pPr>
        <w:pStyle w:val="Heading2"/>
        <w:spacing w:before="0" w:beforeAutospacing="0" w:after="0" w:afterAutospacing="0"/>
        <w:ind w:left="284"/>
        <w:jc w:val="center"/>
        <w:rPr>
          <w:color w:val="7030A0"/>
          <w:sz w:val="24"/>
          <w:szCs w:val="24"/>
        </w:rPr>
      </w:pPr>
      <w:r w:rsidRPr="003167BB">
        <w:rPr>
          <w:color w:val="7030A0"/>
          <w:sz w:val="24"/>
          <w:szCs w:val="24"/>
        </w:rPr>
        <w:t>INDIA-</w:t>
      </w:r>
      <w:r w:rsidR="00A44803">
        <w:rPr>
          <w:color w:val="7030A0"/>
          <w:sz w:val="24"/>
          <w:szCs w:val="24"/>
        </w:rPr>
        <w:t>BENIN</w:t>
      </w:r>
      <w:r w:rsidRPr="003167BB">
        <w:rPr>
          <w:color w:val="7030A0"/>
          <w:sz w:val="24"/>
          <w:szCs w:val="24"/>
        </w:rPr>
        <w:t xml:space="preserve"> BILATERAL TRADE RELATIONS</w:t>
      </w:r>
    </w:p>
    <w:p w:rsidR="00F21AFD" w:rsidRDefault="00F21AFD" w:rsidP="00AA21EC">
      <w:pPr>
        <w:tabs>
          <w:tab w:val="right" w:pos="9922"/>
        </w:tabs>
        <w:spacing w:before="100" w:beforeAutospacing="1" w:after="100" w:afterAutospacing="1" w:line="240" w:lineRule="auto"/>
        <w:jc w:val="both"/>
        <w:rPr>
          <w:rFonts w:ascii="Times New Roman" w:hAnsi="Times New Roman" w:cs="Times New Roman"/>
          <w:b/>
          <w:color w:val="00B050"/>
          <w:sz w:val="24"/>
          <w:szCs w:val="24"/>
        </w:rPr>
      </w:pPr>
    </w:p>
    <w:p w:rsidR="009E4AB8" w:rsidRPr="00990936" w:rsidRDefault="009E4AB8" w:rsidP="00AA21EC">
      <w:pPr>
        <w:tabs>
          <w:tab w:val="right" w:pos="9922"/>
        </w:tabs>
        <w:spacing w:before="100" w:beforeAutospacing="1" w:after="100" w:afterAutospacing="1" w:line="240" w:lineRule="auto"/>
        <w:jc w:val="both"/>
        <w:rPr>
          <w:rFonts w:ascii="Times New Roman" w:hAnsi="Times New Roman" w:cs="Times New Roman"/>
          <w:b/>
          <w:color w:val="00B050"/>
          <w:sz w:val="24"/>
          <w:szCs w:val="24"/>
        </w:rPr>
      </w:pPr>
      <w:r w:rsidRPr="00990936">
        <w:rPr>
          <w:rFonts w:ascii="Times New Roman" w:hAnsi="Times New Roman" w:cs="Times New Roman"/>
          <w:b/>
          <w:color w:val="00B050"/>
          <w:sz w:val="24"/>
          <w:szCs w:val="24"/>
        </w:rPr>
        <w:t>INTRODUCTION &amp; BRIEF ECONOMIC OVERVIEW</w:t>
      </w:r>
      <w:r w:rsidR="00AA21EC" w:rsidRPr="00990936">
        <w:rPr>
          <w:rFonts w:ascii="Times New Roman" w:hAnsi="Times New Roman" w:cs="Times New Roman"/>
          <w:b/>
          <w:color w:val="00B050"/>
          <w:sz w:val="24"/>
          <w:szCs w:val="24"/>
        </w:rPr>
        <w:tab/>
      </w:r>
    </w:p>
    <w:p w:rsidR="0012550C" w:rsidRPr="00AD0D8A" w:rsidRDefault="005E5556" w:rsidP="00773A35">
      <w:pPr>
        <w:tabs>
          <w:tab w:val="left" w:pos="567"/>
        </w:tabs>
        <w:spacing w:before="100" w:beforeAutospacing="1" w:after="100" w:afterAutospacing="1"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B063EC">
        <w:rPr>
          <w:rFonts w:ascii="Times New Roman" w:eastAsia="Calibri" w:hAnsi="Times New Roman" w:cs="Times New Roman"/>
          <w:sz w:val="24"/>
          <w:szCs w:val="24"/>
        </w:rPr>
        <w:t xml:space="preserve"> </w:t>
      </w:r>
      <w:r w:rsidR="00710C37" w:rsidRPr="00AD0D8A">
        <w:rPr>
          <w:rFonts w:ascii="Times New Roman" w:hAnsi="Times New Roman" w:cs="Times New Roman"/>
          <w:sz w:val="24"/>
          <w:szCs w:val="24"/>
        </w:rPr>
        <w:t xml:space="preserve">The </w:t>
      </w:r>
      <w:r w:rsidR="00710C37" w:rsidRPr="00AD0D8A">
        <w:rPr>
          <w:rStyle w:val="Strong"/>
          <w:rFonts w:ascii="Times New Roman" w:hAnsi="Times New Roman" w:cs="Times New Roman"/>
          <w:b w:val="0"/>
          <w:bCs w:val="0"/>
          <w:sz w:val="24"/>
          <w:szCs w:val="24"/>
        </w:rPr>
        <w:t>Republic of Benin</w:t>
      </w:r>
      <w:r w:rsidR="00710C37" w:rsidRPr="00AD0D8A">
        <w:rPr>
          <w:rFonts w:ascii="Times New Roman" w:hAnsi="Times New Roman" w:cs="Times New Roman"/>
          <w:sz w:val="24"/>
          <w:szCs w:val="24"/>
        </w:rPr>
        <w:t xml:space="preserve"> is a sovereign country located in </w:t>
      </w:r>
      <w:r w:rsidR="00710C37" w:rsidRPr="00AD0D8A">
        <w:rPr>
          <w:rStyle w:val="Strong"/>
          <w:rFonts w:ascii="Times New Roman" w:hAnsi="Times New Roman" w:cs="Times New Roman"/>
          <w:b w:val="0"/>
          <w:bCs w:val="0"/>
          <w:sz w:val="24"/>
          <w:szCs w:val="24"/>
        </w:rPr>
        <w:t>West Africa</w:t>
      </w:r>
      <w:r w:rsidR="00710C37" w:rsidRPr="00AD0D8A">
        <w:rPr>
          <w:rFonts w:ascii="Times New Roman" w:hAnsi="Times New Roman" w:cs="Times New Roman"/>
          <w:sz w:val="24"/>
          <w:szCs w:val="24"/>
        </w:rPr>
        <w:t xml:space="preserve">, bordered by </w:t>
      </w:r>
      <w:r w:rsidR="00710C37" w:rsidRPr="00AD0D8A">
        <w:rPr>
          <w:rStyle w:val="Strong"/>
          <w:rFonts w:ascii="Times New Roman" w:hAnsi="Times New Roman" w:cs="Times New Roman"/>
          <w:b w:val="0"/>
          <w:bCs w:val="0"/>
          <w:sz w:val="24"/>
          <w:szCs w:val="24"/>
        </w:rPr>
        <w:t>Togo</w:t>
      </w:r>
      <w:r w:rsidR="00710C37" w:rsidRPr="00AD0D8A">
        <w:rPr>
          <w:rFonts w:ascii="Times New Roman" w:hAnsi="Times New Roman" w:cs="Times New Roman"/>
          <w:sz w:val="24"/>
          <w:szCs w:val="24"/>
        </w:rPr>
        <w:t xml:space="preserve"> to the west, </w:t>
      </w:r>
      <w:r w:rsidR="00710C37" w:rsidRPr="00AD0D8A">
        <w:rPr>
          <w:rStyle w:val="Strong"/>
          <w:rFonts w:ascii="Times New Roman" w:hAnsi="Times New Roman" w:cs="Times New Roman"/>
          <w:b w:val="0"/>
          <w:bCs w:val="0"/>
          <w:sz w:val="24"/>
          <w:szCs w:val="24"/>
        </w:rPr>
        <w:t>Nigeria</w:t>
      </w:r>
      <w:r w:rsidR="00710C37" w:rsidRPr="00AD0D8A">
        <w:rPr>
          <w:rFonts w:ascii="Times New Roman" w:hAnsi="Times New Roman" w:cs="Times New Roman"/>
          <w:sz w:val="24"/>
          <w:szCs w:val="24"/>
        </w:rPr>
        <w:t xml:space="preserve"> to the east, </w:t>
      </w:r>
      <w:r w:rsidR="00710C37" w:rsidRPr="00AD0D8A">
        <w:rPr>
          <w:rStyle w:val="Strong"/>
          <w:rFonts w:ascii="Times New Roman" w:hAnsi="Times New Roman" w:cs="Times New Roman"/>
          <w:b w:val="0"/>
          <w:bCs w:val="0"/>
          <w:sz w:val="24"/>
          <w:szCs w:val="24"/>
        </w:rPr>
        <w:t>Burkina Faso</w:t>
      </w:r>
      <w:r w:rsidR="00710C37" w:rsidRPr="00AD0D8A">
        <w:rPr>
          <w:rFonts w:ascii="Times New Roman" w:hAnsi="Times New Roman" w:cs="Times New Roman"/>
          <w:sz w:val="24"/>
          <w:szCs w:val="24"/>
        </w:rPr>
        <w:t xml:space="preserve"> and </w:t>
      </w:r>
      <w:r w:rsidR="00710C37" w:rsidRPr="00AD0D8A">
        <w:rPr>
          <w:rStyle w:val="Strong"/>
          <w:rFonts w:ascii="Times New Roman" w:hAnsi="Times New Roman" w:cs="Times New Roman"/>
          <w:b w:val="0"/>
          <w:bCs w:val="0"/>
          <w:sz w:val="24"/>
          <w:szCs w:val="24"/>
        </w:rPr>
        <w:t>Niger</w:t>
      </w:r>
      <w:r w:rsidR="00710C37" w:rsidRPr="00AD0D8A">
        <w:rPr>
          <w:rFonts w:ascii="Times New Roman" w:hAnsi="Times New Roman" w:cs="Times New Roman"/>
          <w:sz w:val="24"/>
          <w:szCs w:val="24"/>
        </w:rPr>
        <w:t xml:space="preserve"> to the north, and the </w:t>
      </w:r>
      <w:r w:rsidR="00710C37" w:rsidRPr="00AD0D8A">
        <w:rPr>
          <w:rStyle w:val="Strong"/>
          <w:rFonts w:ascii="Times New Roman" w:hAnsi="Times New Roman" w:cs="Times New Roman"/>
          <w:b w:val="0"/>
          <w:bCs w:val="0"/>
          <w:sz w:val="24"/>
          <w:szCs w:val="24"/>
        </w:rPr>
        <w:t>Atlantic Ocean (Bight of Benin)</w:t>
      </w:r>
      <w:r w:rsidR="00710C37" w:rsidRPr="00AD0D8A">
        <w:rPr>
          <w:rFonts w:ascii="Times New Roman" w:hAnsi="Times New Roman" w:cs="Times New Roman"/>
          <w:b/>
          <w:bCs/>
          <w:sz w:val="24"/>
          <w:szCs w:val="24"/>
        </w:rPr>
        <w:t xml:space="preserve"> </w:t>
      </w:r>
      <w:r w:rsidR="00710C37" w:rsidRPr="00AD0D8A">
        <w:rPr>
          <w:rFonts w:ascii="Times New Roman" w:hAnsi="Times New Roman" w:cs="Times New Roman"/>
          <w:sz w:val="24"/>
          <w:szCs w:val="24"/>
        </w:rPr>
        <w:t xml:space="preserve">to the south. Covering an area of approximately </w:t>
      </w:r>
      <w:r w:rsidR="00710C37" w:rsidRPr="00AD0D8A">
        <w:rPr>
          <w:rStyle w:val="Strong"/>
          <w:rFonts w:ascii="Times New Roman" w:hAnsi="Times New Roman" w:cs="Times New Roman"/>
          <w:b w:val="0"/>
          <w:bCs w:val="0"/>
          <w:sz w:val="24"/>
          <w:szCs w:val="24"/>
        </w:rPr>
        <w:t>114,763 sq. km</w:t>
      </w:r>
      <w:r w:rsidR="00710C37" w:rsidRPr="00AD0D8A">
        <w:rPr>
          <w:rFonts w:ascii="Times New Roman" w:hAnsi="Times New Roman" w:cs="Times New Roman"/>
          <w:b/>
          <w:bCs/>
          <w:sz w:val="24"/>
          <w:szCs w:val="24"/>
        </w:rPr>
        <w:t xml:space="preserve">, </w:t>
      </w:r>
      <w:r w:rsidR="00710C37" w:rsidRPr="00AD0D8A">
        <w:rPr>
          <w:rFonts w:ascii="Times New Roman" w:hAnsi="Times New Roman" w:cs="Times New Roman"/>
          <w:sz w:val="24"/>
          <w:szCs w:val="24"/>
        </w:rPr>
        <w:t xml:space="preserve">Benin occupies a strategically important position in the Gulf of Guinea and serves as a vital commercial and transit hub for several landlocked countries in West Africa, particularly </w:t>
      </w:r>
      <w:r w:rsidR="00710C37" w:rsidRPr="00AD0D8A">
        <w:rPr>
          <w:rStyle w:val="Strong"/>
          <w:rFonts w:ascii="Times New Roman" w:hAnsi="Times New Roman" w:cs="Times New Roman"/>
          <w:b w:val="0"/>
          <w:bCs w:val="0"/>
          <w:sz w:val="24"/>
          <w:szCs w:val="24"/>
        </w:rPr>
        <w:t>Niger</w:t>
      </w:r>
      <w:r w:rsidR="00710C37" w:rsidRPr="00AD0D8A">
        <w:rPr>
          <w:rFonts w:ascii="Times New Roman" w:hAnsi="Times New Roman" w:cs="Times New Roman"/>
          <w:sz w:val="24"/>
          <w:szCs w:val="24"/>
        </w:rPr>
        <w:t xml:space="preserve">, </w:t>
      </w:r>
      <w:r w:rsidR="00710C37" w:rsidRPr="00AD0D8A">
        <w:rPr>
          <w:rStyle w:val="Strong"/>
          <w:rFonts w:ascii="Times New Roman" w:hAnsi="Times New Roman" w:cs="Times New Roman"/>
          <w:b w:val="0"/>
          <w:bCs w:val="0"/>
          <w:sz w:val="24"/>
          <w:szCs w:val="24"/>
        </w:rPr>
        <w:t>Burkina Faso</w:t>
      </w:r>
      <w:r w:rsidR="00710C37" w:rsidRPr="00AD0D8A">
        <w:rPr>
          <w:rFonts w:ascii="Times New Roman" w:hAnsi="Times New Roman" w:cs="Times New Roman"/>
          <w:sz w:val="24"/>
          <w:szCs w:val="24"/>
        </w:rPr>
        <w:t xml:space="preserve">, and </w:t>
      </w:r>
      <w:r w:rsidR="00710C37" w:rsidRPr="00AD0D8A">
        <w:rPr>
          <w:rStyle w:val="Strong"/>
          <w:rFonts w:ascii="Times New Roman" w:hAnsi="Times New Roman" w:cs="Times New Roman"/>
          <w:b w:val="0"/>
          <w:bCs w:val="0"/>
          <w:sz w:val="24"/>
          <w:szCs w:val="24"/>
        </w:rPr>
        <w:t>Mali</w:t>
      </w:r>
      <w:r w:rsidR="00710C37" w:rsidRPr="00AD0D8A">
        <w:rPr>
          <w:rFonts w:ascii="Times New Roman" w:hAnsi="Times New Roman" w:cs="Times New Roman"/>
          <w:sz w:val="24"/>
          <w:szCs w:val="24"/>
        </w:rPr>
        <w:t xml:space="preserve">, through the </w:t>
      </w:r>
      <w:r w:rsidR="00710C37" w:rsidRPr="00AD0D8A">
        <w:rPr>
          <w:rStyle w:val="Strong"/>
          <w:rFonts w:ascii="Times New Roman" w:hAnsi="Times New Roman" w:cs="Times New Roman"/>
          <w:b w:val="0"/>
          <w:bCs w:val="0"/>
          <w:sz w:val="24"/>
          <w:szCs w:val="24"/>
        </w:rPr>
        <w:t>Port of Cotonou</w:t>
      </w:r>
      <w:r w:rsidR="00710C37" w:rsidRPr="00AD0D8A">
        <w:rPr>
          <w:rFonts w:ascii="Times New Roman" w:hAnsi="Times New Roman" w:cs="Times New Roman"/>
          <w:sz w:val="24"/>
          <w:szCs w:val="24"/>
        </w:rPr>
        <w:t xml:space="preserve">. The country is a member of several regional and international organizations, including the </w:t>
      </w:r>
      <w:r w:rsidR="00710C37" w:rsidRPr="00AD0D8A">
        <w:rPr>
          <w:rStyle w:val="Strong"/>
          <w:rFonts w:ascii="Times New Roman" w:hAnsi="Times New Roman" w:cs="Times New Roman"/>
          <w:b w:val="0"/>
          <w:bCs w:val="0"/>
          <w:sz w:val="24"/>
          <w:szCs w:val="24"/>
        </w:rPr>
        <w:t>West African Economic and Monetary Union (WAEMU/UEMOA)</w:t>
      </w:r>
      <w:r w:rsidR="00710C37" w:rsidRPr="00AD0D8A">
        <w:rPr>
          <w:rFonts w:ascii="Times New Roman" w:hAnsi="Times New Roman" w:cs="Times New Roman"/>
          <w:sz w:val="24"/>
          <w:szCs w:val="24"/>
        </w:rPr>
        <w:t xml:space="preserve">, the </w:t>
      </w:r>
      <w:r w:rsidR="00710C37" w:rsidRPr="00AD0D8A">
        <w:rPr>
          <w:rStyle w:val="Strong"/>
          <w:rFonts w:ascii="Times New Roman" w:hAnsi="Times New Roman" w:cs="Times New Roman"/>
          <w:b w:val="0"/>
          <w:bCs w:val="0"/>
          <w:sz w:val="24"/>
          <w:szCs w:val="24"/>
        </w:rPr>
        <w:t>Economic Community of West African States (ECOWAS)</w:t>
      </w:r>
      <w:r w:rsidR="00710C37" w:rsidRPr="00AD0D8A">
        <w:rPr>
          <w:rFonts w:ascii="Times New Roman" w:hAnsi="Times New Roman" w:cs="Times New Roman"/>
          <w:sz w:val="24"/>
          <w:szCs w:val="24"/>
        </w:rPr>
        <w:t xml:space="preserve">, the </w:t>
      </w:r>
      <w:r w:rsidR="00710C37" w:rsidRPr="00AD0D8A">
        <w:rPr>
          <w:rStyle w:val="Strong"/>
          <w:rFonts w:ascii="Times New Roman" w:hAnsi="Times New Roman" w:cs="Times New Roman"/>
          <w:b w:val="0"/>
          <w:bCs w:val="0"/>
          <w:sz w:val="24"/>
          <w:szCs w:val="24"/>
        </w:rPr>
        <w:t>African Union (AU)</w:t>
      </w:r>
      <w:r w:rsidR="00710C37" w:rsidRPr="00AD0D8A">
        <w:rPr>
          <w:rFonts w:ascii="Times New Roman" w:hAnsi="Times New Roman" w:cs="Times New Roman"/>
          <w:sz w:val="24"/>
          <w:szCs w:val="24"/>
        </w:rPr>
        <w:t xml:space="preserve">, and the </w:t>
      </w:r>
      <w:r w:rsidR="00710C37" w:rsidRPr="00AD0D8A">
        <w:rPr>
          <w:rStyle w:val="Strong"/>
          <w:rFonts w:ascii="Times New Roman" w:hAnsi="Times New Roman" w:cs="Times New Roman"/>
          <w:b w:val="0"/>
          <w:bCs w:val="0"/>
          <w:sz w:val="24"/>
          <w:szCs w:val="24"/>
        </w:rPr>
        <w:t>World Trade Organization (WTO)</w:t>
      </w:r>
      <w:r w:rsidR="00710C37" w:rsidRPr="00AD0D8A">
        <w:rPr>
          <w:rFonts w:ascii="Times New Roman" w:hAnsi="Times New Roman" w:cs="Times New Roman"/>
          <w:sz w:val="24"/>
          <w:szCs w:val="24"/>
        </w:rPr>
        <w:t>. Benin follows an open-market economic policy, supported by political stability, prudent macroeconomic management, and sustained structural reforms aimed at strengthening private sector participation, improving infrastructure, enhancing public financial management, and promoting regional trade integration. Agriculture remains the backbone of the economy, while trade, transport and logistics, construction, telecommunications, financial services, and public administration also contribute significantly to economic activity. Cotton continues to be the country's principal export commodity, while the Port of Cotonou serves as a major gateway for both domestic commerce and regional transit trade.</w:t>
      </w:r>
    </w:p>
    <w:p w:rsidR="00E50262" w:rsidRPr="00D82139" w:rsidRDefault="004242E3" w:rsidP="00773A35">
      <w:pPr>
        <w:tabs>
          <w:tab w:val="left" w:pos="426"/>
          <w:tab w:val="left" w:pos="709"/>
        </w:tabs>
        <w:spacing w:after="0" w:line="240" w:lineRule="auto"/>
        <w:jc w:val="both"/>
        <w:rPr>
          <w:rFonts w:ascii="Times New Roman" w:eastAsia="Times New Roman" w:hAnsi="Times New Roman" w:cs="Times New Roman"/>
          <w:sz w:val="24"/>
          <w:szCs w:val="24"/>
          <w:lang w:eastAsia="en-IN"/>
        </w:rPr>
      </w:pPr>
      <w:r w:rsidRPr="00AD0D8A">
        <w:rPr>
          <w:rFonts w:ascii="Times New Roman" w:eastAsia="Times New Roman" w:hAnsi="Times New Roman" w:cs="Times New Roman"/>
          <w:sz w:val="24"/>
          <w:szCs w:val="24"/>
          <w:lang w:eastAsia="en-IN"/>
        </w:rPr>
        <w:t>2</w:t>
      </w:r>
      <w:r w:rsidR="00773A35" w:rsidRPr="00AD0D8A">
        <w:rPr>
          <w:rFonts w:ascii="Times New Roman" w:eastAsia="Times New Roman" w:hAnsi="Times New Roman" w:cs="Times New Roman"/>
          <w:sz w:val="24"/>
          <w:szCs w:val="24"/>
          <w:lang w:eastAsia="en-IN"/>
        </w:rPr>
        <w:t xml:space="preserve">.   </w:t>
      </w:r>
      <w:r w:rsidR="00710C37" w:rsidRPr="00AD0D8A">
        <w:rPr>
          <w:rFonts w:ascii="Times New Roman" w:hAnsi="Times New Roman" w:cs="Times New Roman"/>
          <w:sz w:val="24"/>
          <w:szCs w:val="24"/>
        </w:rPr>
        <w:t xml:space="preserve">Benin has demonstrated remarkable economic resilience over recent years, supported by sustained public investment, robust agricultural performance, expanding services, and continued implementation of structural reforms. As presented in </w:t>
      </w:r>
      <w:r w:rsidR="00710C37" w:rsidRPr="00AD0D8A">
        <w:rPr>
          <w:rStyle w:val="Strong"/>
          <w:rFonts w:ascii="Times New Roman" w:hAnsi="Times New Roman" w:cs="Times New Roman"/>
          <w:sz w:val="24"/>
          <w:szCs w:val="24"/>
        </w:rPr>
        <w:t>Table 1</w:t>
      </w:r>
      <w:r w:rsidR="00710C37" w:rsidRPr="00AD0D8A">
        <w:rPr>
          <w:rFonts w:ascii="Times New Roman" w:hAnsi="Times New Roman" w:cs="Times New Roman"/>
          <w:sz w:val="24"/>
          <w:szCs w:val="24"/>
        </w:rPr>
        <w:t xml:space="preserve">, the country's </w:t>
      </w:r>
      <w:r w:rsidR="00710C37" w:rsidRPr="00AD0D8A">
        <w:rPr>
          <w:rStyle w:val="Strong"/>
          <w:rFonts w:ascii="Times New Roman" w:hAnsi="Times New Roman" w:cs="Times New Roman"/>
          <w:sz w:val="24"/>
          <w:szCs w:val="24"/>
        </w:rPr>
        <w:t>real GDP</w:t>
      </w:r>
      <w:r w:rsidR="00710C37" w:rsidRPr="00AD0D8A">
        <w:rPr>
          <w:rFonts w:ascii="Times New Roman" w:hAnsi="Times New Roman" w:cs="Times New Roman"/>
          <w:sz w:val="24"/>
          <w:szCs w:val="24"/>
        </w:rPr>
        <w:t xml:space="preserve"> grew by </w:t>
      </w:r>
      <w:r w:rsidR="00710C37" w:rsidRPr="00AD0D8A">
        <w:rPr>
          <w:rStyle w:val="Strong"/>
          <w:rFonts w:ascii="Times New Roman" w:hAnsi="Times New Roman" w:cs="Times New Roman"/>
          <w:sz w:val="24"/>
          <w:szCs w:val="24"/>
        </w:rPr>
        <w:t>7.2% in 2021</w:t>
      </w:r>
      <w:r w:rsidR="00710C37" w:rsidRPr="00AD0D8A">
        <w:rPr>
          <w:rFonts w:ascii="Times New Roman" w:hAnsi="Times New Roman" w:cs="Times New Roman"/>
          <w:sz w:val="24"/>
          <w:szCs w:val="24"/>
        </w:rPr>
        <w:t xml:space="preserve">, moderated to </w:t>
      </w:r>
      <w:r w:rsidR="00710C37" w:rsidRPr="00AD0D8A">
        <w:rPr>
          <w:rStyle w:val="Strong"/>
          <w:rFonts w:ascii="Times New Roman" w:hAnsi="Times New Roman" w:cs="Times New Roman"/>
          <w:sz w:val="24"/>
          <w:szCs w:val="24"/>
        </w:rPr>
        <w:t>6.3% in both 2022 and 2023</w:t>
      </w:r>
      <w:r w:rsidR="00710C37" w:rsidRPr="00AD0D8A">
        <w:rPr>
          <w:rFonts w:ascii="Times New Roman" w:hAnsi="Times New Roman" w:cs="Times New Roman"/>
          <w:sz w:val="24"/>
          <w:szCs w:val="24"/>
        </w:rPr>
        <w:t xml:space="preserve">, before accelerating to </w:t>
      </w:r>
      <w:r w:rsidR="00710C37" w:rsidRPr="00AD0D8A">
        <w:rPr>
          <w:rStyle w:val="Strong"/>
          <w:rFonts w:ascii="Times New Roman" w:hAnsi="Times New Roman" w:cs="Times New Roman"/>
          <w:sz w:val="24"/>
          <w:szCs w:val="24"/>
        </w:rPr>
        <w:t>7.5% in 2024 and 2025</w:t>
      </w:r>
      <w:r w:rsidR="00710C37" w:rsidRPr="00AD0D8A">
        <w:rPr>
          <w:rFonts w:ascii="Times New Roman" w:hAnsi="Times New Roman" w:cs="Times New Roman"/>
          <w:sz w:val="24"/>
          <w:szCs w:val="24"/>
        </w:rPr>
        <w:t xml:space="preserve">. Over the medium term, economic growth is projected to stabilize at </w:t>
      </w:r>
      <w:r w:rsidR="00710C37" w:rsidRPr="00AD0D8A">
        <w:rPr>
          <w:rStyle w:val="Strong"/>
          <w:rFonts w:ascii="Times New Roman" w:hAnsi="Times New Roman" w:cs="Times New Roman"/>
          <w:sz w:val="24"/>
          <w:szCs w:val="24"/>
        </w:rPr>
        <w:t>6.0% annually during 2026–2029</w:t>
      </w:r>
      <w:r w:rsidR="00710C37" w:rsidRPr="00AD0D8A">
        <w:rPr>
          <w:rFonts w:ascii="Times New Roman" w:hAnsi="Times New Roman" w:cs="Times New Roman"/>
          <w:sz w:val="24"/>
          <w:szCs w:val="24"/>
        </w:rPr>
        <w:t xml:space="preserve">, reflecting continued expansion in infrastructure development, logistics, manufacturing, and private investment. Inflation has remained well contained compared with many developing economies, averaging </w:t>
      </w:r>
      <w:r w:rsidR="00710C37" w:rsidRPr="00AD0D8A">
        <w:rPr>
          <w:rStyle w:val="Strong"/>
          <w:rFonts w:ascii="Times New Roman" w:hAnsi="Times New Roman" w:cs="Times New Roman"/>
          <w:sz w:val="24"/>
          <w:szCs w:val="24"/>
        </w:rPr>
        <w:t>1.7% in 2021</w:t>
      </w:r>
      <w:r w:rsidR="00710C37" w:rsidRPr="00AD0D8A">
        <w:rPr>
          <w:rFonts w:ascii="Times New Roman" w:hAnsi="Times New Roman" w:cs="Times New Roman"/>
          <w:sz w:val="24"/>
          <w:szCs w:val="24"/>
        </w:rPr>
        <w:t xml:space="preserve">, </w:t>
      </w:r>
      <w:r w:rsidR="00710C37" w:rsidRPr="00AD0D8A">
        <w:rPr>
          <w:rStyle w:val="Strong"/>
          <w:rFonts w:ascii="Times New Roman" w:hAnsi="Times New Roman" w:cs="Times New Roman"/>
          <w:sz w:val="24"/>
          <w:szCs w:val="24"/>
        </w:rPr>
        <w:t>1.4% in 2022</w:t>
      </w:r>
      <w:r w:rsidR="00710C37" w:rsidRPr="00AD0D8A">
        <w:rPr>
          <w:rFonts w:ascii="Times New Roman" w:hAnsi="Times New Roman" w:cs="Times New Roman"/>
          <w:sz w:val="24"/>
          <w:szCs w:val="24"/>
        </w:rPr>
        <w:t xml:space="preserve">, rising temporarily to </w:t>
      </w:r>
      <w:r w:rsidR="00710C37" w:rsidRPr="00AD0D8A">
        <w:rPr>
          <w:rStyle w:val="Strong"/>
          <w:rFonts w:ascii="Times New Roman" w:hAnsi="Times New Roman" w:cs="Times New Roman"/>
          <w:sz w:val="24"/>
          <w:szCs w:val="24"/>
        </w:rPr>
        <w:t>3.7% in 2023</w:t>
      </w:r>
      <w:r w:rsidR="00710C37" w:rsidRPr="00AD0D8A">
        <w:rPr>
          <w:rFonts w:ascii="Times New Roman" w:hAnsi="Times New Roman" w:cs="Times New Roman"/>
          <w:sz w:val="24"/>
          <w:szCs w:val="24"/>
        </w:rPr>
        <w:t xml:space="preserve">, and subsequently moderating to around </w:t>
      </w:r>
      <w:r w:rsidR="00710C37" w:rsidRPr="00AD0D8A">
        <w:rPr>
          <w:rStyle w:val="Strong"/>
          <w:rFonts w:ascii="Times New Roman" w:hAnsi="Times New Roman" w:cs="Times New Roman"/>
          <w:sz w:val="24"/>
          <w:szCs w:val="24"/>
        </w:rPr>
        <w:t>2.0% from 2024 onwards</w:t>
      </w:r>
      <w:r w:rsidR="00710C37" w:rsidRPr="00AD0D8A">
        <w:rPr>
          <w:rFonts w:ascii="Times New Roman" w:hAnsi="Times New Roman" w:cs="Times New Roman"/>
          <w:sz w:val="24"/>
          <w:szCs w:val="24"/>
        </w:rPr>
        <w:t xml:space="preserve">, broadly consistent with the </w:t>
      </w:r>
      <w:r w:rsidR="00710C37" w:rsidRPr="00AD0D8A">
        <w:rPr>
          <w:rStyle w:val="Strong"/>
          <w:rFonts w:ascii="Times New Roman" w:hAnsi="Times New Roman" w:cs="Times New Roman"/>
          <w:sz w:val="24"/>
          <w:szCs w:val="24"/>
        </w:rPr>
        <w:t>WAEMU convergence criterion</w:t>
      </w:r>
      <w:r w:rsidR="00710C37" w:rsidRPr="00AD0D8A">
        <w:rPr>
          <w:rFonts w:ascii="Times New Roman" w:hAnsi="Times New Roman" w:cs="Times New Roman"/>
          <w:sz w:val="24"/>
          <w:szCs w:val="24"/>
        </w:rPr>
        <w:t xml:space="preserve">. Fiscal performance is expected to strengthen gradually through improved domestic revenue mobilization and disciplined public expenditure management. General government revenue is projected to increase steadily from </w:t>
      </w:r>
      <w:r w:rsidR="00710C37" w:rsidRPr="00AD0D8A">
        <w:rPr>
          <w:rStyle w:val="Strong"/>
          <w:rFonts w:ascii="Times New Roman" w:hAnsi="Times New Roman" w:cs="Times New Roman"/>
          <w:sz w:val="24"/>
          <w:szCs w:val="24"/>
        </w:rPr>
        <w:t>13.2% of GDP in 2021</w:t>
      </w:r>
      <w:r w:rsidR="00710C37" w:rsidRPr="00AD0D8A">
        <w:rPr>
          <w:rFonts w:ascii="Times New Roman" w:hAnsi="Times New Roman" w:cs="Times New Roman"/>
          <w:sz w:val="24"/>
          <w:szCs w:val="24"/>
        </w:rPr>
        <w:t xml:space="preserve"> to </w:t>
      </w:r>
      <w:r w:rsidR="00710C37" w:rsidRPr="00AD0D8A">
        <w:rPr>
          <w:rStyle w:val="Strong"/>
          <w:rFonts w:ascii="Times New Roman" w:hAnsi="Times New Roman" w:cs="Times New Roman"/>
          <w:sz w:val="24"/>
          <w:szCs w:val="24"/>
        </w:rPr>
        <w:t>15.5% by 2029</w:t>
      </w:r>
      <w:r w:rsidR="00710C37" w:rsidRPr="00AD0D8A">
        <w:rPr>
          <w:rFonts w:ascii="Times New Roman" w:hAnsi="Times New Roman" w:cs="Times New Roman"/>
          <w:sz w:val="24"/>
          <w:szCs w:val="24"/>
        </w:rPr>
        <w:t xml:space="preserve">, while the overall fiscal deficit is expected to narrow from </w:t>
      </w:r>
      <w:r w:rsidR="00710C37" w:rsidRPr="00AD0D8A">
        <w:rPr>
          <w:rStyle w:val="Strong"/>
          <w:rFonts w:ascii="Times New Roman" w:hAnsi="Times New Roman" w:cs="Times New Roman"/>
          <w:sz w:val="24"/>
          <w:szCs w:val="24"/>
        </w:rPr>
        <w:t>5.7% of GDP</w:t>
      </w:r>
      <w:r w:rsidR="00710C37" w:rsidRPr="00AD0D8A">
        <w:rPr>
          <w:rFonts w:ascii="Times New Roman" w:hAnsi="Times New Roman" w:cs="Times New Roman"/>
          <w:sz w:val="24"/>
          <w:szCs w:val="24"/>
        </w:rPr>
        <w:t xml:space="preserve"> to </w:t>
      </w:r>
      <w:r w:rsidR="00710C37" w:rsidRPr="00AD0D8A">
        <w:rPr>
          <w:rStyle w:val="Strong"/>
          <w:rFonts w:ascii="Times New Roman" w:hAnsi="Times New Roman" w:cs="Times New Roman"/>
          <w:sz w:val="24"/>
          <w:szCs w:val="24"/>
        </w:rPr>
        <w:t>2.75% of GDP</w:t>
      </w:r>
      <w:r w:rsidR="00710C37" w:rsidRPr="00AD0D8A">
        <w:rPr>
          <w:rFonts w:ascii="Times New Roman" w:hAnsi="Times New Roman" w:cs="Times New Roman"/>
          <w:sz w:val="24"/>
          <w:szCs w:val="24"/>
        </w:rPr>
        <w:t xml:space="preserve"> over the same period. Public debt is projected to peak at </w:t>
      </w:r>
      <w:r w:rsidR="00710C37" w:rsidRPr="00AD0D8A">
        <w:rPr>
          <w:rStyle w:val="Strong"/>
          <w:rFonts w:ascii="Times New Roman" w:hAnsi="Times New Roman" w:cs="Times New Roman"/>
          <w:sz w:val="24"/>
          <w:szCs w:val="24"/>
        </w:rPr>
        <w:t>60.5% of GDP in 2024</w:t>
      </w:r>
      <w:r w:rsidR="00710C37" w:rsidRPr="00AD0D8A">
        <w:rPr>
          <w:rFonts w:ascii="Times New Roman" w:hAnsi="Times New Roman" w:cs="Times New Roman"/>
          <w:sz w:val="24"/>
          <w:szCs w:val="24"/>
        </w:rPr>
        <w:t xml:space="preserve"> before declining gradually to </w:t>
      </w:r>
      <w:r w:rsidR="00710C37" w:rsidRPr="00AD0D8A">
        <w:rPr>
          <w:rStyle w:val="Strong"/>
          <w:rFonts w:ascii="Times New Roman" w:hAnsi="Times New Roman" w:cs="Times New Roman"/>
          <w:sz w:val="24"/>
          <w:szCs w:val="24"/>
        </w:rPr>
        <w:t>50.0% by 2029</w:t>
      </w:r>
      <w:r w:rsidR="00710C37" w:rsidRPr="00AD0D8A">
        <w:rPr>
          <w:rFonts w:ascii="Times New Roman" w:hAnsi="Times New Roman" w:cs="Times New Roman"/>
          <w:sz w:val="24"/>
          <w:szCs w:val="24"/>
        </w:rPr>
        <w:t xml:space="preserve">, reflecting prudent debt management policies. In the external sector, the </w:t>
      </w:r>
      <w:r w:rsidR="00710C37" w:rsidRPr="00AD0D8A">
        <w:rPr>
          <w:rStyle w:val="Strong"/>
          <w:rFonts w:ascii="Times New Roman" w:hAnsi="Times New Roman" w:cs="Times New Roman"/>
          <w:sz w:val="24"/>
          <w:szCs w:val="24"/>
        </w:rPr>
        <w:t>current account deficit</w:t>
      </w:r>
      <w:r w:rsidR="00710C37" w:rsidRPr="00AD0D8A">
        <w:rPr>
          <w:rFonts w:ascii="Times New Roman" w:hAnsi="Times New Roman" w:cs="Times New Roman"/>
          <w:sz w:val="24"/>
          <w:szCs w:val="24"/>
        </w:rPr>
        <w:t xml:space="preserve"> is projected to improve progressively from </w:t>
      </w:r>
      <w:r w:rsidR="00710C37" w:rsidRPr="00AD0D8A">
        <w:rPr>
          <w:rStyle w:val="Strong"/>
          <w:rFonts w:ascii="Times New Roman" w:hAnsi="Times New Roman" w:cs="Times New Roman"/>
          <w:sz w:val="24"/>
          <w:szCs w:val="24"/>
        </w:rPr>
        <w:t>6.2% of GDP in 2022</w:t>
      </w:r>
      <w:r w:rsidR="00710C37" w:rsidRPr="00AD0D8A">
        <w:rPr>
          <w:rFonts w:ascii="Times New Roman" w:hAnsi="Times New Roman" w:cs="Times New Roman"/>
          <w:sz w:val="24"/>
          <w:szCs w:val="24"/>
        </w:rPr>
        <w:t xml:space="preserve"> to </w:t>
      </w:r>
      <w:r w:rsidR="00710C37" w:rsidRPr="00AD0D8A">
        <w:rPr>
          <w:rStyle w:val="Strong"/>
          <w:rFonts w:ascii="Times New Roman" w:hAnsi="Times New Roman" w:cs="Times New Roman"/>
          <w:sz w:val="24"/>
          <w:szCs w:val="24"/>
        </w:rPr>
        <w:t>4.0% by 2029</w:t>
      </w:r>
      <w:r w:rsidR="00710C37" w:rsidRPr="00AD0D8A">
        <w:rPr>
          <w:rFonts w:ascii="Times New Roman" w:hAnsi="Times New Roman" w:cs="Times New Roman"/>
          <w:sz w:val="24"/>
          <w:szCs w:val="24"/>
        </w:rPr>
        <w:t xml:space="preserve">, supported by stronger export performance, increased regional trade, and continued improvements in competitiveness. Meanwhile, Benin's </w:t>
      </w:r>
      <w:r w:rsidR="00710C37" w:rsidRPr="00AD0D8A">
        <w:rPr>
          <w:rStyle w:val="Strong"/>
          <w:rFonts w:ascii="Times New Roman" w:hAnsi="Times New Roman" w:cs="Times New Roman"/>
          <w:sz w:val="24"/>
          <w:szCs w:val="24"/>
        </w:rPr>
        <w:t>nominal GDP</w:t>
      </w:r>
      <w:r w:rsidR="00710C37" w:rsidRPr="00AD0D8A">
        <w:rPr>
          <w:rFonts w:ascii="Times New Roman" w:hAnsi="Times New Roman" w:cs="Times New Roman"/>
          <w:sz w:val="24"/>
          <w:szCs w:val="24"/>
        </w:rPr>
        <w:t xml:space="preserve"> is projected to expand significantly from </w:t>
      </w:r>
      <w:r w:rsidR="00710C37" w:rsidRPr="00AD0D8A">
        <w:rPr>
          <w:rStyle w:val="Strong"/>
          <w:rFonts w:ascii="Times New Roman" w:hAnsi="Times New Roman" w:cs="Times New Roman"/>
          <w:sz w:val="24"/>
          <w:szCs w:val="24"/>
        </w:rPr>
        <w:t>US$17.7 billion in 2021</w:t>
      </w:r>
      <w:r w:rsidR="00710C37" w:rsidRPr="00AD0D8A">
        <w:rPr>
          <w:rFonts w:ascii="Times New Roman" w:hAnsi="Times New Roman" w:cs="Times New Roman"/>
          <w:sz w:val="24"/>
          <w:szCs w:val="24"/>
        </w:rPr>
        <w:t xml:space="preserve"> to </w:t>
      </w:r>
      <w:r w:rsidR="00710C37" w:rsidRPr="00AD0D8A">
        <w:rPr>
          <w:rStyle w:val="Strong"/>
          <w:rFonts w:ascii="Times New Roman" w:hAnsi="Times New Roman" w:cs="Times New Roman"/>
          <w:sz w:val="24"/>
          <w:szCs w:val="24"/>
        </w:rPr>
        <w:t>US$30.2 billion by 2029</w:t>
      </w:r>
      <w:r w:rsidR="00710C37" w:rsidRPr="00AD0D8A">
        <w:rPr>
          <w:rFonts w:ascii="Times New Roman" w:hAnsi="Times New Roman" w:cs="Times New Roman"/>
          <w:sz w:val="24"/>
          <w:szCs w:val="24"/>
        </w:rPr>
        <w:t xml:space="preserve">, while the population is expected to increase from </w:t>
      </w:r>
      <w:r w:rsidR="00710C37" w:rsidRPr="00AD0D8A">
        <w:rPr>
          <w:rStyle w:val="Strong"/>
          <w:rFonts w:ascii="Times New Roman" w:hAnsi="Times New Roman" w:cs="Times New Roman"/>
          <w:sz w:val="24"/>
          <w:szCs w:val="24"/>
        </w:rPr>
        <w:t>12.9 million</w:t>
      </w:r>
      <w:r w:rsidR="00710C37" w:rsidRPr="00AD0D8A">
        <w:rPr>
          <w:rFonts w:ascii="Times New Roman" w:hAnsi="Times New Roman" w:cs="Times New Roman"/>
          <w:sz w:val="24"/>
          <w:szCs w:val="24"/>
        </w:rPr>
        <w:t xml:space="preserve"> to </w:t>
      </w:r>
      <w:r w:rsidR="00710C37" w:rsidRPr="00AD0D8A">
        <w:rPr>
          <w:rStyle w:val="Strong"/>
          <w:rFonts w:ascii="Times New Roman" w:hAnsi="Times New Roman" w:cs="Times New Roman"/>
          <w:sz w:val="24"/>
          <w:szCs w:val="24"/>
        </w:rPr>
        <w:t>16.1 million</w:t>
      </w:r>
      <w:r w:rsidR="00710C37" w:rsidRPr="00AD0D8A">
        <w:rPr>
          <w:rFonts w:ascii="Times New Roman" w:hAnsi="Times New Roman" w:cs="Times New Roman"/>
          <w:sz w:val="24"/>
          <w:szCs w:val="24"/>
        </w:rPr>
        <w:t>, providing a growing domestic market and labour force. Overall, Benin's medium-term economic outlook remains favourable, underpinned by macroeconomic stability, ongoing structural reforms, infrastructure development, regional integration initiatives, and a sustained commitment to inclusive and private sector-led economic growth.</w:t>
      </w:r>
    </w:p>
    <w:p w:rsidR="00F21AFD" w:rsidRPr="00F21AFD" w:rsidRDefault="00D93F85" w:rsidP="00F21AFD">
      <w:pPr>
        <w:spacing w:before="100" w:beforeAutospacing="1" w:after="100" w:afterAutospacing="1" w:line="240" w:lineRule="auto"/>
        <w:jc w:val="both"/>
        <w:rPr>
          <w:rFonts w:ascii="Times New Roman" w:hAnsi="Times New Roman" w:cs="Times New Roman"/>
          <w:bCs/>
          <w:color w:val="943634" w:themeColor="accent2" w:themeShade="BF"/>
          <w:sz w:val="24"/>
          <w:szCs w:val="24"/>
        </w:rPr>
      </w:pPr>
      <w:r w:rsidRPr="003605B2">
        <w:rPr>
          <w:rFonts w:ascii="Times New Roman" w:hAnsi="Times New Roman" w:cs="Times New Roman"/>
          <w:bCs/>
          <w:color w:val="943634" w:themeColor="accent2" w:themeShade="BF"/>
          <w:sz w:val="24"/>
          <w:szCs w:val="24"/>
        </w:rPr>
        <w:t>A</w:t>
      </w:r>
      <w:r w:rsidR="009E4AB8" w:rsidRPr="003605B2">
        <w:rPr>
          <w:rFonts w:ascii="Times New Roman" w:hAnsi="Times New Roman" w:cs="Times New Roman"/>
          <w:bCs/>
          <w:color w:val="943634" w:themeColor="accent2" w:themeShade="BF"/>
          <w:sz w:val="24"/>
          <w:szCs w:val="24"/>
        </w:rPr>
        <w:t xml:space="preserve"> snapshot of </w:t>
      </w:r>
      <w:r w:rsidR="00A44803">
        <w:rPr>
          <w:rFonts w:ascii="Times New Roman" w:hAnsi="Times New Roman" w:cs="Times New Roman"/>
          <w:bCs/>
          <w:color w:val="943634" w:themeColor="accent2" w:themeShade="BF"/>
          <w:sz w:val="24"/>
          <w:szCs w:val="24"/>
        </w:rPr>
        <w:t>BENIN</w:t>
      </w:r>
      <w:r w:rsidR="009E4AB8" w:rsidRPr="003605B2">
        <w:rPr>
          <w:rFonts w:ascii="Times New Roman" w:hAnsi="Times New Roman" w:cs="Times New Roman"/>
          <w:bCs/>
          <w:color w:val="943634" w:themeColor="accent2" w:themeShade="BF"/>
          <w:sz w:val="24"/>
          <w:szCs w:val="24"/>
        </w:rPr>
        <w:t>’s select</w:t>
      </w:r>
      <w:r w:rsidR="003167BB" w:rsidRPr="003605B2">
        <w:rPr>
          <w:rFonts w:ascii="Times New Roman" w:hAnsi="Times New Roman" w:cs="Times New Roman"/>
          <w:bCs/>
          <w:color w:val="943634" w:themeColor="accent2" w:themeShade="BF"/>
          <w:sz w:val="24"/>
          <w:szCs w:val="24"/>
        </w:rPr>
        <w:t>ed</w:t>
      </w:r>
      <w:r w:rsidR="009E4AB8" w:rsidRPr="003605B2">
        <w:rPr>
          <w:rFonts w:ascii="Times New Roman" w:hAnsi="Times New Roman" w:cs="Times New Roman"/>
          <w:bCs/>
          <w:color w:val="943634" w:themeColor="accent2" w:themeShade="BF"/>
          <w:sz w:val="24"/>
          <w:szCs w:val="24"/>
        </w:rPr>
        <w:t xml:space="preserve"> economic indicators is </w:t>
      </w:r>
      <w:r w:rsidR="003167BB" w:rsidRPr="003605B2">
        <w:rPr>
          <w:rFonts w:ascii="Times New Roman" w:hAnsi="Times New Roman" w:cs="Times New Roman"/>
          <w:bCs/>
          <w:color w:val="943634" w:themeColor="accent2" w:themeShade="BF"/>
          <w:sz w:val="24"/>
          <w:szCs w:val="24"/>
        </w:rPr>
        <w:t>presented in Table 1</w:t>
      </w:r>
      <w:r w:rsidR="009E4AB8" w:rsidRPr="003605B2">
        <w:rPr>
          <w:rFonts w:ascii="Times New Roman" w:hAnsi="Times New Roman" w:cs="Times New Roman"/>
          <w:bCs/>
          <w:color w:val="943634" w:themeColor="accent2" w:themeShade="BF"/>
          <w:sz w:val="24"/>
          <w:szCs w:val="24"/>
        </w:rPr>
        <w:t>.</w:t>
      </w:r>
    </w:p>
    <w:p w:rsidR="00710C37" w:rsidRDefault="00710C37" w:rsidP="001A6ADE">
      <w:pPr>
        <w:spacing w:before="100" w:beforeAutospacing="1" w:after="100" w:afterAutospacing="1" w:line="240" w:lineRule="auto"/>
        <w:jc w:val="center"/>
        <w:outlineLvl w:val="1"/>
        <w:rPr>
          <w:rFonts w:ascii="Times New Roman" w:hAnsi="Times New Roman" w:cs="Times New Roman"/>
          <w:b/>
          <w:color w:val="365F91" w:themeColor="accent1" w:themeShade="BF"/>
          <w:sz w:val="24"/>
          <w:szCs w:val="24"/>
        </w:rPr>
      </w:pPr>
    </w:p>
    <w:p w:rsidR="00422CB5" w:rsidRDefault="00422CB5" w:rsidP="00127D2A">
      <w:pPr>
        <w:spacing w:before="100" w:beforeAutospacing="1" w:after="100" w:afterAutospacing="1" w:line="240" w:lineRule="auto"/>
        <w:outlineLvl w:val="1"/>
        <w:rPr>
          <w:rFonts w:ascii="Times New Roman" w:hAnsi="Times New Roman" w:cs="Times New Roman"/>
          <w:b/>
          <w:color w:val="365F91" w:themeColor="accent1" w:themeShade="BF"/>
          <w:sz w:val="24"/>
          <w:szCs w:val="24"/>
        </w:rPr>
      </w:pPr>
    </w:p>
    <w:p w:rsidR="00127D2A" w:rsidRDefault="00127D2A" w:rsidP="00127D2A">
      <w:pPr>
        <w:spacing w:before="100" w:beforeAutospacing="1" w:after="100" w:afterAutospacing="1" w:line="240" w:lineRule="auto"/>
        <w:outlineLvl w:val="1"/>
        <w:rPr>
          <w:rFonts w:ascii="Times New Roman" w:hAnsi="Times New Roman" w:cs="Times New Roman"/>
          <w:b/>
          <w:color w:val="365F91" w:themeColor="accent1" w:themeShade="BF"/>
          <w:sz w:val="24"/>
          <w:szCs w:val="24"/>
        </w:rPr>
      </w:pPr>
    </w:p>
    <w:p w:rsidR="001A6ADE" w:rsidRDefault="003167BB" w:rsidP="001A6ADE">
      <w:pPr>
        <w:spacing w:before="100" w:beforeAutospacing="1" w:after="100" w:afterAutospacing="1" w:line="240" w:lineRule="auto"/>
        <w:jc w:val="center"/>
        <w:outlineLvl w:val="1"/>
        <w:rPr>
          <w:rFonts w:ascii="Times New Roman" w:hAnsi="Times New Roman" w:cs="Times New Roman"/>
          <w:b/>
          <w:color w:val="365F91" w:themeColor="accent1" w:themeShade="BF"/>
          <w:sz w:val="24"/>
          <w:szCs w:val="24"/>
        </w:rPr>
      </w:pPr>
      <w:r w:rsidRPr="003167BB">
        <w:rPr>
          <w:rFonts w:ascii="Times New Roman" w:hAnsi="Times New Roman" w:cs="Times New Roman"/>
          <w:b/>
          <w:color w:val="365F91" w:themeColor="accent1" w:themeShade="BF"/>
          <w:sz w:val="24"/>
          <w:szCs w:val="24"/>
        </w:rPr>
        <w:lastRenderedPageBreak/>
        <w:t xml:space="preserve">TABLE </w:t>
      </w:r>
      <w:r w:rsidR="0098099A">
        <w:rPr>
          <w:rFonts w:ascii="Times New Roman" w:hAnsi="Times New Roman" w:cs="Times New Roman"/>
          <w:b/>
          <w:color w:val="365F91" w:themeColor="accent1" w:themeShade="BF"/>
          <w:sz w:val="24"/>
          <w:szCs w:val="24"/>
        </w:rPr>
        <w:t>–</w:t>
      </w:r>
      <w:r w:rsidRPr="003167BB">
        <w:rPr>
          <w:rFonts w:ascii="Times New Roman" w:hAnsi="Times New Roman" w:cs="Times New Roman"/>
          <w:b/>
          <w:color w:val="365F91" w:themeColor="accent1" w:themeShade="BF"/>
          <w:sz w:val="24"/>
          <w:szCs w:val="24"/>
        </w:rPr>
        <w:t xml:space="preserve"> </w:t>
      </w:r>
      <w:r w:rsidR="001A6ADE" w:rsidRPr="003167BB">
        <w:rPr>
          <w:rFonts w:ascii="Times New Roman" w:hAnsi="Times New Roman" w:cs="Times New Roman"/>
          <w:b/>
          <w:color w:val="365F91" w:themeColor="accent1" w:themeShade="BF"/>
          <w:sz w:val="24"/>
          <w:szCs w:val="24"/>
        </w:rPr>
        <w:t>1</w:t>
      </w:r>
    </w:p>
    <w:tbl>
      <w:tblPr>
        <w:tblW w:w="11595" w:type="dxa"/>
        <w:tblInd w:w="-176" w:type="dxa"/>
        <w:tblLayout w:type="fixed"/>
        <w:tblLook w:val="04A0"/>
      </w:tblPr>
      <w:tblGrid>
        <w:gridCol w:w="2552"/>
        <w:gridCol w:w="850"/>
        <w:gridCol w:w="709"/>
        <w:gridCol w:w="851"/>
        <w:gridCol w:w="851"/>
        <w:gridCol w:w="1164"/>
        <w:gridCol w:w="1164"/>
        <w:gridCol w:w="1164"/>
        <w:gridCol w:w="1164"/>
        <w:gridCol w:w="1126"/>
      </w:tblGrid>
      <w:tr w:rsidR="00DC557D" w:rsidRPr="00DC557D" w:rsidTr="00962975">
        <w:trPr>
          <w:trHeight w:val="80"/>
        </w:trPr>
        <w:tc>
          <w:tcPr>
            <w:tcW w:w="11595" w:type="dxa"/>
            <w:gridSpan w:val="10"/>
            <w:tcBorders>
              <w:top w:val="nil"/>
              <w:left w:val="nil"/>
              <w:bottom w:val="nil"/>
              <w:right w:val="nil"/>
            </w:tcBorders>
            <w:shd w:val="clear" w:color="auto" w:fill="auto"/>
            <w:noWrap/>
            <w:vAlign w:val="center"/>
            <w:hideMark/>
          </w:tcPr>
          <w:p w:rsidR="00DC557D" w:rsidRPr="0047568F" w:rsidRDefault="00DC557D" w:rsidP="00000822">
            <w:pPr>
              <w:spacing w:after="0" w:line="240" w:lineRule="auto"/>
              <w:jc w:val="center"/>
              <w:rPr>
                <w:rFonts w:ascii="Times New Roman" w:eastAsia="Times New Roman" w:hAnsi="Times New Roman" w:cs="Times New Roman"/>
                <w:b/>
                <w:bCs/>
                <w:color w:val="948A54" w:themeColor="background2" w:themeShade="80"/>
                <w:lang w:eastAsia="en-IN" w:bidi="bn-IN"/>
              </w:rPr>
            </w:pPr>
            <w:r w:rsidRPr="0047568F">
              <w:rPr>
                <w:rFonts w:ascii="Times New Roman" w:eastAsia="Times New Roman" w:hAnsi="Times New Roman" w:cs="Times New Roman"/>
                <w:b/>
                <w:bCs/>
                <w:color w:val="948A54" w:themeColor="background2" w:themeShade="80"/>
                <w:lang w:eastAsia="en-IN" w:bidi="bn-IN"/>
              </w:rPr>
              <w:t>BENIN - SELECTED ECONOMIC INDICATORS, 2021–2029</w:t>
            </w:r>
          </w:p>
        </w:tc>
      </w:tr>
      <w:tr w:rsidR="00480437" w:rsidRPr="00DC557D" w:rsidTr="00127D2A">
        <w:trPr>
          <w:trHeight w:val="300"/>
        </w:trPr>
        <w:tc>
          <w:tcPr>
            <w:tcW w:w="2552" w:type="dxa"/>
            <w:vMerge w:val="restart"/>
            <w:tcBorders>
              <w:top w:val="nil"/>
              <w:left w:val="nil"/>
              <w:right w:val="nil"/>
            </w:tcBorders>
            <w:shd w:val="clear" w:color="1F4E79" w:fill="1F4E79"/>
            <w:noWrap/>
            <w:hideMark/>
          </w:tcPr>
          <w:p w:rsidR="00480437" w:rsidRPr="0047568F" w:rsidRDefault="00480437" w:rsidP="00480437">
            <w:pPr>
              <w:spacing w:after="0" w:line="240" w:lineRule="auto"/>
              <w:jc w:val="center"/>
              <w:rPr>
                <w:rFonts w:ascii="Times New Roman" w:eastAsia="Times New Roman" w:hAnsi="Times New Roman" w:cs="Times New Roman"/>
                <w:color w:val="000000"/>
                <w:lang w:eastAsia="en-IN" w:bidi="bn-IN"/>
              </w:rPr>
            </w:pPr>
          </w:p>
          <w:p w:rsidR="00480437" w:rsidRPr="0047568F" w:rsidRDefault="00480437" w:rsidP="00480437">
            <w:pPr>
              <w:spacing w:after="0" w:line="240" w:lineRule="auto"/>
              <w:jc w:val="center"/>
              <w:rPr>
                <w:rFonts w:ascii="Times New Roman" w:eastAsia="Times New Roman" w:hAnsi="Times New Roman" w:cs="Times New Roman"/>
                <w:color w:val="000000"/>
                <w:lang w:eastAsia="en-IN" w:bidi="bn-IN"/>
              </w:rPr>
            </w:pPr>
            <w:r w:rsidRPr="0047568F">
              <w:rPr>
                <w:rFonts w:ascii="Times New Roman" w:eastAsia="Times New Roman" w:hAnsi="Times New Roman" w:cs="Times New Roman"/>
                <w:b/>
                <w:bCs/>
                <w:color w:val="FFFFFF"/>
                <w:lang w:eastAsia="en-IN" w:bidi="bn-IN"/>
              </w:rPr>
              <w:t>Economic Indicators</w:t>
            </w:r>
          </w:p>
        </w:tc>
        <w:tc>
          <w:tcPr>
            <w:tcW w:w="3261" w:type="dxa"/>
            <w:gridSpan w:val="4"/>
            <w:tcBorders>
              <w:top w:val="nil"/>
              <w:left w:val="nil"/>
              <w:bottom w:val="nil"/>
              <w:right w:val="nil"/>
            </w:tcBorders>
            <w:shd w:val="clear" w:color="2F5597" w:fill="2F5597"/>
            <w:vAlign w:val="center"/>
            <w:hideMark/>
          </w:tcPr>
          <w:p w:rsidR="00480437" w:rsidRPr="0047568F" w:rsidRDefault="00480437" w:rsidP="00DC557D">
            <w:pPr>
              <w:spacing w:after="0" w:line="240" w:lineRule="auto"/>
              <w:jc w:val="center"/>
              <w:rPr>
                <w:rFonts w:ascii="Times New Roman" w:eastAsia="Times New Roman" w:hAnsi="Times New Roman" w:cs="Times New Roman"/>
                <w:b/>
                <w:bCs/>
                <w:color w:val="FFFFFF"/>
                <w:lang w:eastAsia="en-IN" w:bidi="bn-IN"/>
              </w:rPr>
            </w:pPr>
            <w:r w:rsidRPr="0047568F">
              <w:rPr>
                <w:rFonts w:ascii="Times New Roman" w:eastAsia="Times New Roman" w:hAnsi="Times New Roman" w:cs="Times New Roman"/>
                <w:b/>
                <w:bCs/>
                <w:color w:val="FFFFFF"/>
                <w:lang w:eastAsia="en-IN" w:bidi="bn-IN"/>
              </w:rPr>
              <w:t>Estimates</w:t>
            </w:r>
          </w:p>
        </w:tc>
        <w:tc>
          <w:tcPr>
            <w:tcW w:w="5782" w:type="dxa"/>
            <w:gridSpan w:val="5"/>
            <w:tcBorders>
              <w:top w:val="nil"/>
              <w:left w:val="nil"/>
              <w:bottom w:val="nil"/>
              <w:right w:val="nil"/>
            </w:tcBorders>
            <w:shd w:val="clear" w:color="2E7D32" w:fill="2E7D32"/>
            <w:vAlign w:val="center"/>
            <w:hideMark/>
          </w:tcPr>
          <w:p w:rsidR="00480437" w:rsidRPr="0047568F" w:rsidRDefault="00480437" w:rsidP="00DC557D">
            <w:pPr>
              <w:spacing w:after="0" w:line="240" w:lineRule="auto"/>
              <w:jc w:val="center"/>
              <w:rPr>
                <w:rFonts w:ascii="Times New Roman" w:eastAsia="Times New Roman" w:hAnsi="Times New Roman" w:cs="Times New Roman"/>
                <w:b/>
                <w:bCs/>
                <w:color w:val="FFFFFF"/>
                <w:lang w:eastAsia="en-IN" w:bidi="bn-IN"/>
              </w:rPr>
            </w:pPr>
            <w:r w:rsidRPr="0047568F">
              <w:rPr>
                <w:rFonts w:ascii="Times New Roman" w:eastAsia="Times New Roman" w:hAnsi="Times New Roman" w:cs="Times New Roman"/>
                <w:b/>
                <w:bCs/>
                <w:color w:val="FFFFFF"/>
                <w:lang w:eastAsia="en-IN" w:bidi="bn-IN"/>
              </w:rPr>
              <w:t>Projections</w:t>
            </w:r>
          </w:p>
        </w:tc>
      </w:tr>
      <w:tr w:rsidR="00480437" w:rsidRPr="00DC557D" w:rsidTr="00127D2A">
        <w:trPr>
          <w:trHeight w:val="300"/>
        </w:trPr>
        <w:tc>
          <w:tcPr>
            <w:tcW w:w="2552" w:type="dxa"/>
            <w:vMerge/>
            <w:tcBorders>
              <w:left w:val="single" w:sz="4" w:space="0" w:color="D9D9D9"/>
              <w:bottom w:val="single" w:sz="4" w:space="0" w:color="D9D9D9"/>
              <w:right w:val="single" w:sz="4" w:space="0" w:color="D9D9D9"/>
            </w:tcBorders>
            <w:shd w:val="clear" w:color="1F4E79" w:fill="1F4E79"/>
            <w:noWrap/>
            <w:vAlign w:val="center"/>
            <w:hideMark/>
          </w:tcPr>
          <w:p w:rsidR="00480437" w:rsidRPr="0047568F" w:rsidRDefault="00480437" w:rsidP="00DC557D">
            <w:pPr>
              <w:spacing w:after="0" w:line="240" w:lineRule="auto"/>
              <w:rPr>
                <w:rFonts w:ascii="Times New Roman" w:eastAsia="Times New Roman" w:hAnsi="Times New Roman" w:cs="Times New Roman"/>
                <w:b/>
                <w:bCs/>
                <w:color w:val="FFFFFF"/>
                <w:lang w:eastAsia="en-IN" w:bidi="bn-IN"/>
              </w:rPr>
            </w:pPr>
          </w:p>
        </w:tc>
        <w:tc>
          <w:tcPr>
            <w:tcW w:w="850" w:type="dxa"/>
            <w:tcBorders>
              <w:top w:val="single" w:sz="4" w:space="0" w:color="D9D9D9"/>
              <w:left w:val="nil"/>
              <w:bottom w:val="single" w:sz="4" w:space="0" w:color="D9D9D9"/>
              <w:right w:val="single" w:sz="4" w:space="0" w:color="D9D9D9"/>
            </w:tcBorders>
            <w:shd w:val="clear" w:color="1F4E79" w:fill="1F4E79"/>
            <w:vAlign w:val="center"/>
            <w:hideMark/>
          </w:tcPr>
          <w:p w:rsidR="00480437" w:rsidRPr="0047568F" w:rsidRDefault="00480437" w:rsidP="00DC557D">
            <w:pPr>
              <w:spacing w:after="0" w:line="240" w:lineRule="auto"/>
              <w:jc w:val="center"/>
              <w:rPr>
                <w:rFonts w:ascii="Times New Roman" w:eastAsia="Times New Roman" w:hAnsi="Times New Roman" w:cs="Times New Roman"/>
                <w:b/>
                <w:bCs/>
                <w:color w:val="FFFFFF"/>
                <w:lang w:eastAsia="en-IN" w:bidi="bn-IN"/>
              </w:rPr>
            </w:pPr>
            <w:r w:rsidRPr="0047568F">
              <w:rPr>
                <w:rFonts w:ascii="Times New Roman" w:eastAsia="Times New Roman" w:hAnsi="Times New Roman" w:cs="Times New Roman"/>
                <w:b/>
                <w:bCs/>
                <w:color w:val="FFFFFF"/>
                <w:lang w:eastAsia="en-IN" w:bidi="bn-IN"/>
              </w:rPr>
              <w:t>2021</w:t>
            </w:r>
          </w:p>
        </w:tc>
        <w:tc>
          <w:tcPr>
            <w:tcW w:w="709" w:type="dxa"/>
            <w:tcBorders>
              <w:top w:val="single" w:sz="4" w:space="0" w:color="D9D9D9"/>
              <w:left w:val="nil"/>
              <w:bottom w:val="single" w:sz="4" w:space="0" w:color="D9D9D9"/>
              <w:right w:val="single" w:sz="4" w:space="0" w:color="D9D9D9"/>
            </w:tcBorders>
            <w:shd w:val="clear" w:color="1F4E79" w:fill="1F4E79"/>
            <w:vAlign w:val="center"/>
            <w:hideMark/>
          </w:tcPr>
          <w:p w:rsidR="00480437" w:rsidRPr="0047568F" w:rsidRDefault="00480437" w:rsidP="00DC557D">
            <w:pPr>
              <w:spacing w:after="0" w:line="240" w:lineRule="auto"/>
              <w:jc w:val="center"/>
              <w:rPr>
                <w:rFonts w:ascii="Times New Roman" w:eastAsia="Times New Roman" w:hAnsi="Times New Roman" w:cs="Times New Roman"/>
                <w:b/>
                <w:bCs/>
                <w:color w:val="FFFFFF"/>
                <w:lang w:eastAsia="en-IN" w:bidi="bn-IN"/>
              </w:rPr>
            </w:pPr>
            <w:r w:rsidRPr="0047568F">
              <w:rPr>
                <w:rFonts w:ascii="Times New Roman" w:eastAsia="Times New Roman" w:hAnsi="Times New Roman" w:cs="Times New Roman"/>
                <w:b/>
                <w:bCs/>
                <w:color w:val="FFFFFF"/>
                <w:lang w:eastAsia="en-IN" w:bidi="bn-IN"/>
              </w:rPr>
              <w:t>2022</w:t>
            </w:r>
          </w:p>
        </w:tc>
        <w:tc>
          <w:tcPr>
            <w:tcW w:w="851" w:type="dxa"/>
            <w:tcBorders>
              <w:top w:val="single" w:sz="4" w:space="0" w:color="D9D9D9"/>
              <w:left w:val="nil"/>
              <w:bottom w:val="single" w:sz="4" w:space="0" w:color="D9D9D9"/>
              <w:right w:val="single" w:sz="4" w:space="0" w:color="D9D9D9"/>
            </w:tcBorders>
            <w:shd w:val="clear" w:color="1F4E79" w:fill="1F4E79"/>
            <w:vAlign w:val="center"/>
            <w:hideMark/>
          </w:tcPr>
          <w:p w:rsidR="00480437" w:rsidRPr="0047568F" w:rsidRDefault="00480437" w:rsidP="00DC557D">
            <w:pPr>
              <w:spacing w:after="0" w:line="240" w:lineRule="auto"/>
              <w:jc w:val="center"/>
              <w:rPr>
                <w:rFonts w:ascii="Times New Roman" w:eastAsia="Times New Roman" w:hAnsi="Times New Roman" w:cs="Times New Roman"/>
                <w:b/>
                <w:bCs/>
                <w:color w:val="FFFFFF"/>
                <w:lang w:eastAsia="en-IN" w:bidi="bn-IN"/>
              </w:rPr>
            </w:pPr>
            <w:r w:rsidRPr="0047568F">
              <w:rPr>
                <w:rFonts w:ascii="Times New Roman" w:eastAsia="Times New Roman" w:hAnsi="Times New Roman" w:cs="Times New Roman"/>
                <w:b/>
                <w:bCs/>
                <w:color w:val="FFFFFF"/>
                <w:lang w:eastAsia="en-IN" w:bidi="bn-IN"/>
              </w:rPr>
              <w:t>2023</w:t>
            </w:r>
          </w:p>
        </w:tc>
        <w:tc>
          <w:tcPr>
            <w:tcW w:w="851" w:type="dxa"/>
            <w:tcBorders>
              <w:top w:val="single" w:sz="4" w:space="0" w:color="D9D9D9"/>
              <w:left w:val="nil"/>
              <w:bottom w:val="single" w:sz="4" w:space="0" w:color="D9D9D9"/>
              <w:right w:val="single" w:sz="4" w:space="0" w:color="D9D9D9"/>
            </w:tcBorders>
            <w:shd w:val="clear" w:color="1F4E79" w:fill="1F4E79"/>
            <w:vAlign w:val="center"/>
            <w:hideMark/>
          </w:tcPr>
          <w:p w:rsidR="00480437" w:rsidRPr="0047568F" w:rsidRDefault="00480437" w:rsidP="00DC557D">
            <w:pPr>
              <w:spacing w:after="0" w:line="240" w:lineRule="auto"/>
              <w:jc w:val="center"/>
              <w:rPr>
                <w:rFonts w:ascii="Times New Roman" w:eastAsia="Times New Roman" w:hAnsi="Times New Roman" w:cs="Times New Roman"/>
                <w:b/>
                <w:bCs/>
                <w:color w:val="FFFFFF"/>
                <w:lang w:eastAsia="en-IN" w:bidi="bn-IN"/>
              </w:rPr>
            </w:pPr>
            <w:r w:rsidRPr="0047568F">
              <w:rPr>
                <w:rFonts w:ascii="Times New Roman" w:eastAsia="Times New Roman" w:hAnsi="Times New Roman" w:cs="Times New Roman"/>
                <w:b/>
                <w:bCs/>
                <w:color w:val="FFFFFF"/>
                <w:lang w:eastAsia="en-IN" w:bidi="bn-IN"/>
              </w:rPr>
              <w:t>2024</w:t>
            </w:r>
          </w:p>
        </w:tc>
        <w:tc>
          <w:tcPr>
            <w:tcW w:w="1164" w:type="dxa"/>
            <w:tcBorders>
              <w:top w:val="single" w:sz="4" w:space="0" w:color="D9D9D9"/>
              <w:left w:val="nil"/>
              <w:bottom w:val="single" w:sz="4" w:space="0" w:color="D9D9D9"/>
              <w:right w:val="single" w:sz="4" w:space="0" w:color="D9D9D9"/>
            </w:tcBorders>
            <w:shd w:val="clear" w:color="1E5631" w:fill="1E5631"/>
            <w:vAlign w:val="center"/>
            <w:hideMark/>
          </w:tcPr>
          <w:p w:rsidR="00480437" w:rsidRPr="0047568F" w:rsidRDefault="00480437" w:rsidP="00DC557D">
            <w:pPr>
              <w:spacing w:after="0" w:line="240" w:lineRule="auto"/>
              <w:jc w:val="center"/>
              <w:rPr>
                <w:rFonts w:ascii="Times New Roman" w:eastAsia="Times New Roman" w:hAnsi="Times New Roman" w:cs="Times New Roman"/>
                <w:b/>
                <w:bCs/>
                <w:color w:val="FFFFFF"/>
                <w:lang w:eastAsia="en-IN" w:bidi="bn-IN"/>
              </w:rPr>
            </w:pPr>
            <w:r w:rsidRPr="0047568F">
              <w:rPr>
                <w:rFonts w:ascii="Times New Roman" w:eastAsia="Times New Roman" w:hAnsi="Times New Roman" w:cs="Times New Roman"/>
                <w:b/>
                <w:bCs/>
                <w:color w:val="FFFFFF"/>
                <w:lang w:eastAsia="en-IN" w:bidi="bn-IN"/>
              </w:rPr>
              <w:t>2025</w:t>
            </w:r>
          </w:p>
        </w:tc>
        <w:tc>
          <w:tcPr>
            <w:tcW w:w="1164" w:type="dxa"/>
            <w:tcBorders>
              <w:top w:val="single" w:sz="4" w:space="0" w:color="D9D9D9"/>
              <w:left w:val="nil"/>
              <w:bottom w:val="single" w:sz="4" w:space="0" w:color="D9D9D9"/>
              <w:right w:val="single" w:sz="4" w:space="0" w:color="D9D9D9"/>
            </w:tcBorders>
            <w:shd w:val="clear" w:color="1E5631" w:fill="1E5631"/>
            <w:vAlign w:val="center"/>
            <w:hideMark/>
          </w:tcPr>
          <w:p w:rsidR="00480437" w:rsidRPr="0047568F" w:rsidRDefault="00480437" w:rsidP="00DC557D">
            <w:pPr>
              <w:spacing w:after="0" w:line="240" w:lineRule="auto"/>
              <w:jc w:val="center"/>
              <w:rPr>
                <w:rFonts w:ascii="Times New Roman" w:eastAsia="Times New Roman" w:hAnsi="Times New Roman" w:cs="Times New Roman"/>
                <w:b/>
                <w:bCs/>
                <w:color w:val="FFFFFF"/>
                <w:lang w:eastAsia="en-IN" w:bidi="bn-IN"/>
              </w:rPr>
            </w:pPr>
            <w:r w:rsidRPr="0047568F">
              <w:rPr>
                <w:rFonts w:ascii="Times New Roman" w:eastAsia="Times New Roman" w:hAnsi="Times New Roman" w:cs="Times New Roman"/>
                <w:b/>
                <w:bCs/>
                <w:color w:val="FFFFFF"/>
                <w:lang w:eastAsia="en-IN" w:bidi="bn-IN"/>
              </w:rPr>
              <w:t>2026</w:t>
            </w:r>
          </w:p>
        </w:tc>
        <w:tc>
          <w:tcPr>
            <w:tcW w:w="1164" w:type="dxa"/>
            <w:tcBorders>
              <w:top w:val="single" w:sz="4" w:space="0" w:color="D9D9D9"/>
              <w:left w:val="nil"/>
              <w:bottom w:val="single" w:sz="4" w:space="0" w:color="D9D9D9"/>
              <w:right w:val="single" w:sz="4" w:space="0" w:color="D9D9D9"/>
            </w:tcBorders>
            <w:shd w:val="clear" w:color="1E5631" w:fill="1E5631"/>
            <w:vAlign w:val="center"/>
            <w:hideMark/>
          </w:tcPr>
          <w:p w:rsidR="00480437" w:rsidRPr="0047568F" w:rsidRDefault="00480437" w:rsidP="00DC557D">
            <w:pPr>
              <w:spacing w:after="0" w:line="240" w:lineRule="auto"/>
              <w:jc w:val="center"/>
              <w:rPr>
                <w:rFonts w:ascii="Times New Roman" w:eastAsia="Times New Roman" w:hAnsi="Times New Roman" w:cs="Times New Roman"/>
                <w:b/>
                <w:bCs/>
                <w:color w:val="FFFFFF"/>
                <w:lang w:eastAsia="en-IN" w:bidi="bn-IN"/>
              </w:rPr>
            </w:pPr>
            <w:r w:rsidRPr="0047568F">
              <w:rPr>
                <w:rFonts w:ascii="Times New Roman" w:eastAsia="Times New Roman" w:hAnsi="Times New Roman" w:cs="Times New Roman"/>
                <w:b/>
                <w:bCs/>
                <w:color w:val="FFFFFF"/>
                <w:lang w:eastAsia="en-IN" w:bidi="bn-IN"/>
              </w:rPr>
              <w:t>2027</w:t>
            </w:r>
          </w:p>
        </w:tc>
        <w:tc>
          <w:tcPr>
            <w:tcW w:w="1164" w:type="dxa"/>
            <w:tcBorders>
              <w:top w:val="single" w:sz="4" w:space="0" w:color="D9D9D9"/>
              <w:left w:val="nil"/>
              <w:bottom w:val="single" w:sz="4" w:space="0" w:color="D9D9D9"/>
              <w:right w:val="single" w:sz="4" w:space="0" w:color="D9D9D9"/>
            </w:tcBorders>
            <w:shd w:val="clear" w:color="1E5631" w:fill="1E5631"/>
            <w:vAlign w:val="center"/>
            <w:hideMark/>
          </w:tcPr>
          <w:p w:rsidR="00480437" w:rsidRPr="0047568F" w:rsidRDefault="00480437" w:rsidP="00DC557D">
            <w:pPr>
              <w:spacing w:after="0" w:line="240" w:lineRule="auto"/>
              <w:jc w:val="center"/>
              <w:rPr>
                <w:rFonts w:ascii="Times New Roman" w:eastAsia="Times New Roman" w:hAnsi="Times New Roman" w:cs="Times New Roman"/>
                <w:b/>
                <w:bCs/>
                <w:color w:val="FFFFFF"/>
                <w:lang w:eastAsia="en-IN" w:bidi="bn-IN"/>
              </w:rPr>
            </w:pPr>
            <w:r w:rsidRPr="0047568F">
              <w:rPr>
                <w:rFonts w:ascii="Times New Roman" w:eastAsia="Times New Roman" w:hAnsi="Times New Roman" w:cs="Times New Roman"/>
                <w:b/>
                <w:bCs/>
                <w:color w:val="FFFFFF"/>
                <w:lang w:eastAsia="en-IN" w:bidi="bn-IN"/>
              </w:rPr>
              <w:t>2028</w:t>
            </w:r>
          </w:p>
        </w:tc>
        <w:tc>
          <w:tcPr>
            <w:tcW w:w="1126" w:type="dxa"/>
            <w:tcBorders>
              <w:top w:val="single" w:sz="4" w:space="0" w:color="D9D9D9"/>
              <w:left w:val="nil"/>
              <w:bottom w:val="single" w:sz="4" w:space="0" w:color="D9D9D9"/>
              <w:right w:val="single" w:sz="4" w:space="0" w:color="D9D9D9"/>
            </w:tcBorders>
            <w:shd w:val="clear" w:color="1E5631" w:fill="1E5631"/>
            <w:vAlign w:val="center"/>
            <w:hideMark/>
          </w:tcPr>
          <w:p w:rsidR="00480437" w:rsidRPr="0047568F" w:rsidRDefault="00480437" w:rsidP="00DC557D">
            <w:pPr>
              <w:spacing w:after="0" w:line="240" w:lineRule="auto"/>
              <w:jc w:val="center"/>
              <w:rPr>
                <w:rFonts w:ascii="Times New Roman" w:eastAsia="Times New Roman" w:hAnsi="Times New Roman" w:cs="Times New Roman"/>
                <w:b/>
                <w:bCs/>
                <w:color w:val="FFFFFF"/>
                <w:lang w:eastAsia="en-IN" w:bidi="bn-IN"/>
              </w:rPr>
            </w:pPr>
            <w:r w:rsidRPr="0047568F">
              <w:rPr>
                <w:rFonts w:ascii="Times New Roman" w:eastAsia="Times New Roman" w:hAnsi="Times New Roman" w:cs="Times New Roman"/>
                <w:b/>
                <w:bCs/>
                <w:color w:val="FFFFFF"/>
                <w:lang w:eastAsia="en-IN" w:bidi="bn-IN"/>
              </w:rPr>
              <w:t>2029</w:t>
            </w:r>
          </w:p>
        </w:tc>
      </w:tr>
      <w:tr w:rsidR="00DC557D" w:rsidRPr="00DC557D" w:rsidTr="00127D2A">
        <w:trPr>
          <w:trHeight w:val="300"/>
        </w:trPr>
        <w:tc>
          <w:tcPr>
            <w:tcW w:w="11595" w:type="dxa"/>
            <w:gridSpan w:val="10"/>
            <w:tcBorders>
              <w:top w:val="single" w:sz="4" w:space="0" w:color="D9D9D9"/>
              <w:left w:val="single" w:sz="4" w:space="0" w:color="D9D9D9"/>
              <w:bottom w:val="single" w:sz="4" w:space="0" w:color="D9D9D9"/>
              <w:right w:val="single" w:sz="4" w:space="0" w:color="D9D9D9"/>
            </w:tcBorders>
            <w:shd w:val="clear" w:color="E9ECEF" w:fill="E9ECEF"/>
            <w:noWrap/>
            <w:vAlign w:val="center"/>
            <w:hideMark/>
          </w:tcPr>
          <w:p w:rsidR="00DC557D" w:rsidRPr="0047568F" w:rsidRDefault="00DC557D" w:rsidP="00DC557D">
            <w:pPr>
              <w:spacing w:after="0" w:line="240" w:lineRule="auto"/>
              <w:rPr>
                <w:rFonts w:ascii="Times New Roman" w:eastAsia="Times New Roman" w:hAnsi="Times New Roman" w:cs="Times New Roman"/>
                <w:b/>
                <w:bCs/>
                <w:color w:val="1F4E79"/>
                <w:lang w:eastAsia="en-IN" w:bidi="bn-IN"/>
              </w:rPr>
            </w:pPr>
            <w:r w:rsidRPr="0047568F">
              <w:rPr>
                <w:rFonts w:ascii="Times New Roman" w:eastAsia="Times New Roman" w:hAnsi="Times New Roman" w:cs="Times New Roman"/>
                <w:b/>
                <w:bCs/>
                <w:color w:val="1F4E79"/>
                <w:lang w:eastAsia="en-IN" w:bidi="bn-IN"/>
              </w:rPr>
              <w:t>Real Economy (percent change)</w:t>
            </w:r>
          </w:p>
        </w:tc>
      </w:tr>
      <w:tr w:rsidR="00DC557D" w:rsidRPr="00DC557D" w:rsidTr="0047568F">
        <w:trPr>
          <w:trHeight w:val="300"/>
        </w:trPr>
        <w:tc>
          <w:tcPr>
            <w:tcW w:w="2552" w:type="dxa"/>
            <w:tcBorders>
              <w:top w:val="nil"/>
              <w:left w:val="single" w:sz="4" w:space="0" w:color="D9D9D9"/>
              <w:bottom w:val="single" w:sz="4" w:space="0" w:color="D9D9D9"/>
              <w:right w:val="single" w:sz="4" w:space="0" w:color="D9D9D9"/>
            </w:tcBorders>
            <w:shd w:val="clear" w:color="FFFFFF" w:fill="FFFFFF"/>
            <w:noWrap/>
            <w:vAlign w:val="center"/>
            <w:hideMark/>
          </w:tcPr>
          <w:p w:rsidR="00DC557D" w:rsidRPr="0047568F" w:rsidRDefault="00DC557D" w:rsidP="00DC557D">
            <w:pPr>
              <w:spacing w:after="0" w:line="240" w:lineRule="auto"/>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 xml:space="preserve">    Real GDP</w:t>
            </w:r>
          </w:p>
        </w:tc>
        <w:tc>
          <w:tcPr>
            <w:tcW w:w="850"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7.2</w:t>
            </w:r>
          </w:p>
        </w:tc>
        <w:tc>
          <w:tcPr>
            <w:tcW w:w="709"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6.3</w:t>
            </w:r>
          </w:p>
        </w:tc>
        <w:tc>
          <w:tcPr>
            <w:tcW w:w="851"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6.3</w:t>
            </w:r>
          </w:p>
        </w:tc>
        <w:tc>
          <w:tcPr>
            <w:tcW w:w="851"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7.5</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7.5</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6.0</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6.0</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6.0</w:t>
            </w:r>
          </w:p>
        </w:tc>
        <w:tc>
          <w:tcPr>
            <w:tcW w:w="1126"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6.0</w:t>
            </w:r>
          </w:p>
        </w:tc>
      </w:tr>
      <w:tr w:rsidR="00DC557D" w:rsidRPr="00DC557D" w:rsidTr="0047568F">
        <w:trPr>
          <w:trHeight w:val="300"/>
        </w:trPr>
        <w:tc>
          <w:tcPr>
            <w:tcW w:w="2552" w:type="dxa"/>
            <w:tcBorders>
              <w:top w:val="nil"/>
              <w:left w:val="single" w:sz="4" w:space="0" w:color="D9D9D9"/>
              <w:bottom w:val="single" w:sz="4" w:space="0" w:color="D9D9D9"/>
              <w:right w:val="single" w:sz="4" w:space="0" w:color="D9D9D9"/>
            </w:tcBorders>
            <w:shd w:val="clear" w:color="F8F9FA" w:fill="F8F9FA"/>
            <w:noWrap/>
            <w:vAlign w:val="center"/>
            <w:hideMark/>
          </w:tcPr>
          <w:p w:rsidR="00DC557D" w:rsidRPr="0047568F" w:rsidRDefault="00DC557D" w:rsidP="00DC557D">
            <w:pPr>
              <w:spacing w:after="0" w:line="240" w:lineRule="auto"/>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 xml:space="preserve">    Real Non-Oil / Non-Agricultural GDP</w:t>
            </w:r>
          </w:p>
        </w:tc>
        <w:tc>
          <w:tcPr>
            <w:tcW w:w="850"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6.8</w:t>
            </w:r>
          </w:p>
        </w:tc>
        <w:tc>
          <w:tcPr>
            <w:tcW w:w="709"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6.1</w:t>
            </w:r>
          </w:p>
        </w:tc>
        <w:tc>
          <w:tcPr>
            <w:tcW w:w="851"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6.2</w:t>
            </w:r>
          </w:p>
        </w:tc>
        <w:tc>
          <w:tcPr>
            <w:tcW w:w="851"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7.1</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7.0</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6.0</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6.0</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6.0</w:t>
            </w:r>
          </w:p>
        </w:tc>
        <w:tc>
          <w:tcPr>
            <w:tcW w:w="1126"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6.0</w:t>
            </w:r>
          </w:p>
        </w:tc>
      </w:tr>
      <w:tr w:rsidR="00DC557D" w:rsidRPr="00DC557D" w:rsidTr="0047568F">
        <w:trPr>
          <w:trHeight w:val="300"/>
        </w:trPr>
        <w:tc>
          <w:tcPr>
            <w:tcW w:w="2552" w:type="dxa"/>
            <w:tcBorders>
              <w:top w:val="nil"/>
              <w:left w:val="single" w:sz="4" w:space="0" w:color="D9D9D9"/>
              <w:bottom w:val="single" w:sz="4" w:space="0" w:color="D9D9D9"/>
              <w:right w:val="single" w:sz="4" w:space="0" w:color="D9D9D9"/>
            </w:tcBorders>
            <w:shd w:val="clear" w:color="FFFFFF" w:fill="FFFFFF"/>
            <w:noWrap/>
            <w:vAlign w:val="center"/>
            <w:hideMark/>
          </w:tcPr>
          <w:p w:rsidR="00DC557D" w:rsidRPr="0047568F" w:rsidRDefault="00DC557D" w:rsidP="00DC557D">
            <w:pPr>
              <w:spacing w:after="0" w:line="240" w:lineRule="auto"/>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 xml:space="preserve">    Inflation, Average Consumer Prices (percent) 1/</w:t>
            </w:r>
          </w:p>
        </w:tc>
        <w:tc>
          <w:tcPr>
            <w:tcW w:w="850"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1.7</w:t>
            </w:r>
          </w:p>
        </w:tc>
        <w:tc>
          <w:tcPr>
            <w:tcW w:w="709"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1.4</w:t>
            </w:r>
          </w:p>
        </w:tc>
        <w:tc>
          <w:tcPr>
            <w:tcW w:w="851"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3.7</w:t>
            </w:r>
          </w:p>
        </w:tc>
        <w:tc>
          <w:tcPr>
            <w:tcW w:w="851"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2.0</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2.0</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2.0</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2.0</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2.0</w:t>
            </w:r>
          </w:p>
        </w:tc>
        <w:tc>
          <w:tcPr>
            <w:tcW w:w="1126"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2.0</w:t>
            </w:r>
          </w:p>
        </w:tc>
      </w:tr>
      <w:tr w:rsidR="00DC557D" w:rsidRPr="00DC557D" w:rsidTr="0047568F">
        <w:trPr>
          <w:trHeight w:val="300"/>
        </w:trPr>
        <w:tc>
          <w:tcPr>
            <w:tcW w:w="2552" w:type="dxa"/>
            <w:tcBorders>
              <w:top w:val="nil"/>
              <w:left w:val="single" w:sz="4" w:space="0" w:color="D9D9D9"/>
              <w:bottom w:val="single" w:sz="4" w:space="0" w:color="D9D9D9"/>
              <w:right w:val="single" w:sz="4" w:space="0" w:color="D9D9D9"/>
            </w:tcBorders>
            <w:shd w:val="clear" w:color="F8F9FA" w:fill="F8F9FA"/>
            <w:noWrap/>
            <w:vAlign w:val="center"/>
            <w:hideMark/>
          </w:tcPr>
          <w:p w:rsidR="00DC557D" w:rsidRPr="0047568F" w:rsidRDefault="00DC557D" w:rsidP="00DC557D">
            <w:pPr>
              <w:spacing w:after="0" w:line="240" w:lineRule="auto"/>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 xml:space="preserve">    Inflation, End of Period Consumer Prices (percent) 1/</w:t>
            </w:r>
          </w:p>
        </w:tc>
        <w:tc>
          <w:tcPr>
            <w:tcW w:w="850"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2.5</w:t>
            </w:r>
          </w:p>
        </w:tc>
        <w:tc>
          <w:tcPr>
            <w:tcW w:w="709"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0.4</w:t>
            </w:r>
          </w:p>
        </w:tc>
        <w:tc>
          <w:tcPr>
            <w:tcW w:w="851"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2.8</w:t>
            </w:r>
          </w:p>
        </w:tc>
        <w:tc>
          <w:tcPr>
            <w:tcW w:w="851"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2.2</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2.0</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2.0</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2.0</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2.0</w:t>
            </w:r>
          </w:p>
        </w:tc>
        <w:tc>
          <w:tcPr>
            <w:tcW w:w="1126"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2.0</w:t>
            </w:r>
          </w:p>
        </w:tc>
      </w:tr>
      <w:tr w:rsidR="00DC557D" w:rsidRPr="00DC557D" w:rsidTr="0047568F">
        <w:trPr>
          <w:trHeight w:val="300"/>
        </w:trPr>
        <w:tc>
          <w:tcPr>
            <w:tcW w:w="2552" w:type="dxa"/>
            <w:tcBorders>
              <w:top w:val="nil"/>
              <w:left w:val="single" w:sz="4" w:space="0" w:color="D9D9D9"/>
              <w:bottom w:val="single" w:sz="4" w:space="0" w:color="D9D9D9"/>
              <w:right w:val="single" w:sz="4" w:space="0" w:color="D9D9D9"/>
            </w:tcBorders>
            <w:shd w:val="clear" w:color="FFFFFF" w:fill="FFFFFF"/>
            <w:noWrap/>
            <w:vAlign w:val="center"/>
            <w:hideMark/>
          </w:tcPr>
          <w:p w:rsidR="00DC557D" w:rsidRPr="0047568F" w:rsidRDefault="00DC557D" w:rsidP="00DC557D">
            <w:pPr>
              <w:spacing w:after="0" w:line="240" w:lineRule="auto"/>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 xml:space="preserve">    Unemployment rate (percent) 2/</w:t>
            </w:r>
          </w:p>
        </w:tc>
        <w:tc>
          <w:tcPr>
            <w:tcW w:w="850"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2.4</w:t>
            </w:r>
          </w:p>
        </w:tc>
        <w:tc>
          <w:tcPr>
            <w:tcW w:w="709"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2.3</w:t>
            </w:r>
          </w:p>
        </w:tc>
        <w:tc>
          <w:tcPr>
            <w:tcW w:w="851"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2.2</w:t>
            </w:r>
          </w:p>
        </w:tc>
        <w:tc>
          <w:tcPr>
            <w:tcW w:w="851"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2.1</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2.1</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2.0</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2.0</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2.0</w:t>
            </w:r>
          </w:p>
        </w:tc>
        <w:tc>
          <w:tcPr>
            <w:tcW w:w="1126"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2.0</w:t>
            </w:r>
          </w:p>
        </w:tc>
      </w:tr>
      <w:tr w:rsidR="00DC557D" w:rsidRPr="00DC557D" w:rsidTr="00127D2A">
        <w:trPr>
          <w:trHeight w:val="300"/>
        </w:trPr>
        <w:tc>
          <w:tcPr>
            <w:tcW w:w="11595" w:type="dxa"/>
            <w:gridSpan w:val="10"/>
            <w:tcBorders>
              <w:top w:val="single" w:sz="4" w:space="0" w:color="D9D9D9"/>
              <w:left w:val="single" w:sz="4" w:space="0" w:color="D9D9D9"/>
              <w:bottom w:val="single" w:sz="4" w:space="0" w:color="D9D9D9"/>
              <w:right w:val="single" w:sz="4" w:space="0" w:color="D9D9D9"/>
            </w:tcBorders>
            <w:shd w:val="clear" w:color="E9ECEF" w:fill="E9ECEF"/>
            <w:noWrap/>
            <w:vAlign w:val="center"/>
            <w:hideMark/>
          </w:tcPr>
          <w:p w:rsidR="00DC557D" w:rsidRPr="0047568F" w:rsidRDefault="00DC557D" w:rsidP="00DC557D">
            <w:pPr>
              <w:spacing w:after="0" w:line="240" w:lineRule="auto"/>
              <w:rPr>
                <w:rFonts w:ascii="Times New Roman" w:eastAsia="Times New Roman" w:hAnsi="Times New Roman" w:cs="Times New Roman"/>
                <w:b/>
                <w:bCs/>
                <w:color w:val="1F4E79"/>
                <w:lang w:eastAsia="en-IN" w:bidi="bn-IN"/>
              </w:rPr>
            </w:pPr>
            <w:r w:rsidRPr="0047568F">
              <w:rPr>
                <w:rFonts w:ascii="Times New Roman" w:eastAsia="Times New Roman" w:hAnsi="Times New Roman" w:cs="Times New Roman"/>
                <w:b/>
                <w:bCs/>
                <w:color w:val="1F4E79"/>
                <w:lang w:eastAsia="en-IN" w:bidi="bn-IN"/>
              </w:rPr>
              <w:t>Public Finance (percent of GDP)</w:t>
            </w:r>
          </w:p>
        </w:tc>
      </w:tr>
      <w:tr w:rsidR="00DC557D" w:rsidRPr="00DC557D" w:rsidTr="0047568F">
        <w:trPr>
          <w:trHeight w:val="300"/>
        </w:trPr>
        <w:tc>
          <w:tcPr>
            <w:tcW w:w="2552" w:type="dxa"/>
            <w:tcBorders>
              <w:top w:val="nil"/>
              <w:left w:val="single" w:sz="4" w:space="0" w:color="D9D9D9"/>
              <w:bottom w:val="single" w:sz="4" w:space="0" w:color="D9D9D9"/>
              <w:right w:val="single" w:sz="4" w:space="0" w:color="D9D9D9"/>
            </w:tcBorders>
            <w:shd w:val="clear" w:color="FFFFFF" w:fill="FFFFFF"/>
            <w:noWrap/>
            <w:vAlign w:val="center"/>
            <w:hideMark/>
          </w:tcPr>
          <w:p w:rsidR="00DC557D" w:rsidRPr="0047568F" w:rsidRDefault="00DC557D" w:rsidP="00DC557D">
            <w:pPr>
              <w:spacing w:after="0" w:line="240" w:lineRule="auto"/>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 xml:space="preserve">    General Government Total Revenue</w:t>
            </w:r>
          </w:p>
        </w:tc>
        <w:tc>
          <w:tcPr>
            <w:tcW w:w="850"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13.2</w:t>
            </w:r>
          </w:p>
        </w:tc>
        <w:tc>
          <w:tcPr>
            <w:tcW w:w="709"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13.4</w:t>
            </w:r>
          </w:p>
        </w:tc>
        <w:tc>
          <w:tcPr>
            <w:tcW w:w="851"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13.9</w:t>
            </w:r>
          </w:p>
        </w:tc>
        <w:tc>
          <w:tcPr>
            <w:tcW w:w="851"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14.2</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14.5</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14.8</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15.0</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15.2</w:t>
            </w:r>
          </w:p>
        </w:tc>
        <w:tc>
          <w:tcPr>
            <w:tcW w:w="1126"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15.5</w:t>
            </w:r>
          </w:p>
        </w:tc>
      </w:tr>
      <w:tr w:rsidR="00DC557D" w:rsidRPr="00DC557D" w:rsidTr="0047568F">
        <w:trPr>
          <w:trHeight w:val="300"/>
        </w:trPr>
        <w:tc>
          <w:tcPr>
            <w:tcW w:w="2552" w:type="dxa"/>
            <w:tcBorders>
              <w:top w:val="nil"/>
              <w:left w:val="single" w:sz="4" w:space="0" w:color="D9D9D9"/>
              <w:bottom w:val="single" w:sz="4" w:space="0" w:color="D9D9D9"/>
              <w:right w:val="single" w:sz="4" w:space="0" w:color="D9D9D9"/>
            </w:tcBorders>
            <w:shd w:val="clear" w:color="F8F9FA" w:fill="F8F9FA"/>
            <w:noWrap/>
            <w:vAlign w:val="center"/>
            <w:hideMark/>
          </w:tcPr>
          <w:p w:rsidR="00DC557D" w:rsidRPr="0047568F" w:rsidRDefault="00DC557D" w:rsidP="00DC557D">
            <w:pPr>
              <w:spacing w:after="0" w:line="240" w:lineRule="auto"/>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 xml:space="preserve">    General Government Total Expenditure</w:t>
            </w:r>
          </w:p>
        </w:tc>
        <w:tc>
          <w:tcPr>
            <w:tcW w:w="850"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18.90</w:t>
            </w:r>
          </w:p>
        </w:tc>
        <w:tc>
          <w:tcPr>
            <w:tcW w:w="709"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18.90</w:t>
            </w:r>
          </w:p>
        </w:tc>
        <w:tc>
          <w:tcPr>
            <w:tcW w:w="851"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18.20</w:t>
            </w:r>
          </w:p>
        </w:tc>
        <w:tc>
          <w:tcPr>
            <w:tcW w:w="851"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17.30</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17.40</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17.80</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18.00</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18.00</w:t>
            </w:r>
          </w:p>
        </w:tc>
        <w:tc>
          <w:tcPr>
            <w:tcW w:w="1126"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18.25</w:t>
            </w:r>
          </w:p>
        </w:tc>
      </w:tr>
      <w:tr w:rsidR="00DC557D" w:rsidRPr="00DC557D" w:rsidTr="0047568F">
        <w:trPr>
          <w:trHeight w:val="300"/>
        </w:trPr>
        <w:tc>
          <w:tcPr>
            <w:tcW w:w="2552" w:type="dxa"/>
            <w:tcBorders>
              <w:top w:val="nil"/>
              <w:left w:val="single" w:sz="4" w:space="0" w:color="D9D9D9"/>
              <w:bottom w:val="single" w:sz="4" w:space="0" w:color="D9D9D9"/>
              <w:right w:val="single" w:sz="4" w:space="0" w:color="D9D9D9"/>
            </w:tcBorders>
            <w:shd w:val="clear" w:color="FFFFFF" w:fill="FFFFFF"/>
            <w:noWrap/>
            <w:vAlign w:val="center"/>
            <w:hideMark/>
          </w:tcPr>
          <w:p w:rsidR="00DC557D" w:rsidRPr="0047568F" w:rsidRDefault="00DC557D" w:rsidP="00DC557D">
            <w:pPr>
              <w:spacing w:after="0" w:line="240" w:lineRule="auto"/>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 xml:space="preserve">    General Government Net Lending/Borrowing (Overall Balance)</w:t>
            </w:r>
          </w:p>
        </w:tc>
        <w:tc>
          <w:tcPr>
            <w:tcW w:w="850"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-5.70</w:t>
            </w:r>
          </w:p>
        </w:tc>
        <w:tc>
          <w:tcPr>
            <w:tcW w:w="709"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-5.50</w:t>
            </w:r>
          </w:p>
        </w:tc>
        <w:tc>
          <w:tcPr>
            <w:tcW w:w="851"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-4.30</w:t>
            </w:r>
          </w:p>
        </w:tc>
        <w:tc>
          <w:tcPr>
            <w:tcW w:w="851"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-3.10</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-2.90</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-3.00</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-3.00</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-2.80</w:t>
            </w:r>
          </w:p>
        </w:tc>
        <w:tc>
          <w:tcPr>
            <w:tcW w:w="1126"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-2.75</w:t>
            </w:r>
          </w:p>
        </w:tc>
      </w:tr>
      <w:tr w:rsidR="00DC557D" w:rsidRPr="00DC557D" w:rsidTr="0047568F">
        <w:trPr>
          <w:trHeight w:val="300"/>
        </w:trPr>
        <w:tc>
          <w:tcPr>
            <w:tcW w:w="2552" w:type="dxa"/>
            <w:tcBorders>
              <w:top w:val="nil"/>
              <w:left w:val="single" w:sz="4" w:space="0" w:color="D9D9D9"/>
              <w:bottom w:val="single" w:sz="4" w:space="0" w:color="D9D9D9"/>
              <w:right w:val="single" w:sz="4" w:space="0" w:color="D9D9D9"/>
            </w:tcBorders>
            <w:shd w:val="clear" w:color="F8F9FA" w:fill="F8F9FA"/>
            <w:noWrap/>
            <w:vAlign w:val="center"/>
            <w:hideMark/>
          </w:tcPr>
          <w:p w:rsidR="00DC557D" w:rsidRPr="0047568F" w:rsidRDefault="00DC557D" w:rsidP="00DC557D">
            <w:pPr>
              <w:spacing w:after="0" w:line="240" w:lineRule="auto"/>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 xml:space="preserve">    General Government Gross Debt</w:t>
            </w:r>
          </w:p>
        </w:tc>
        <w:tc>
          <w:tcPr>
            <w:tcW w:w="850"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49.9</w:t>
            </w:r>
          </w:p>
        </w:tc>
        <w:tc>
          <w:tcPr>
            <w:tcW w:w="709"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51.6</w:t>
            </w:r>
          </w:p>
        </w:tc>
        <w:tc>
          <w:tcPr>
            <w:tcW w:w="851"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54.0</w:t>
            </w:r>
          </w:p>
        </w:tc>
        <w:tc>
          <w:tcPr>
            <w:tcW w:w="851"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60.5</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58.2</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56.0</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54.0</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52.0</w:t>
            </w:r>
          </w:p>
        </w:tc>
        <w:tc>
          <w:tcPr>
            <w:tcW w:w="1126"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50.0</w:t>
            </w:r>
          </w:p>
        </w:tc>
      </w:tr>
      <w:tr w:rsidR="00DC557D" w:rsidRPr="00DC557D" w:rsidTr="00127D2A">
        <w:trPr>
          <w:trHeight w:val="300"/>
        </w:trPr>
        <w:tc>
          <w:tcPr>
            <w:tcW w:w="11595" w:type="dxa"/>
            <w:gridSpan w:val="10"/>
            <w:tcBorders>
              <w:top w:val="single" w:sz="4" w:space="0" w:color="D9D9D9"/>
              <w:left w:val="single" w:sz="4" w:space="0" w:color="D9D9D9"/>
              <w:bottom w:val="single" w:sz="4" w:space="0" w:color="D9D9D9"/>
              <w:right w:val="single" w:sz="4" w:space="0" w:color="D9D9D9"/>
            </w:tcBorders>
            <w:shd w:val="clear" w:color="E9ECEF" w:fill="E9ECEF"/>
            <w:noWrap/>
            <w:vAlign w:val="center"/>
            <w:hideMark/>
          </w:tcPr>
          <w:p w:rsidR="00DC557D" w:rsidRPr="0047568F" w:rsidRDefault="00DC557D" w:rsidP="00DC557D">
            <w:pPr>
              <w:spacing w:after="0" w:line="240" w:lineRule="auto"/>
              <w:rPr>
                <w:rFonts w:ascii="Times New Roman" w:eastAsia="Times New Roman" w:hAnsi="Times New Roman" w:cs="Times New Roman"/>
                <w:b/>
                <w:bCs/>
                <w:color w:val="1F4E79"/>
                <w:lang w:eastAsia="en-IN" w:bidi="bn-IN"/>
              </w:rPr>
            </w:pPr>
            <w:r w:rsidRPr="0047568F">
              <w:rPr>
                <w:rFonts w:ascii="Times New Roman" w:eastAsia="Times New Roman" w:hAnsi="Times New Roman" w:cs="Times New Roman"/>
                <w:b/>
                <w:bCs/>
                <w:color w:val="1F4E79"/>
                <w:lang w:eastAsia="en-IN" w:bidi="bn-IN"/>
              </w:rPr>
              <w:t>Balance of Payments (percent of GDP)</w:t>
            </w:r>
          </w:p>
        </w:tc>
      </w:tr>
      <w:tr w:rsidR="00DC557D" w:rsidRPr="00DC557D" w:rsidTr="0047568F">
        <w:trPr>
          <w:trHeight w:val="300"/>
        </w:trPr>
        <w:tc>
          <w:tcPr>
            <w:tcW w:w="2552" w:type="dxa"/>
            <w:tcBorders>
              <w:top w:val="nil"/>
              <w:left w:val="single" w:sz="4" w:space="0" w:color="D9D9D9"/>
              <w:bottom w:val="single" w:sz="4" w:space="0" w:color="D9D9D9"/>
              <w:right w:val="single" w:sz="4" w:space="0" w:color="D9D9D9"/>
            </w:tcBorders>
            <w:shd w:val="clear" w:color="FFFFFF" w:fill="FFFFFF"/>
            <w:noWrap/>
            <w:vAlign w:val="center"/>
            <w:hideMark/>
          </w:tcPr>
          <w:p w:rsidR="00DC557D" w:rsidRPr="0047568F" w:rsidRDefault="00DC557D" w:rsidP="00DC557D">
            <w:pPr>
              <w:spacing w:after="0" w:line="240" w:lineRule="auto"/>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 xml:space="preserve">    Current Account Balance (percent of GDP)</w:t>
            </w:r>
          </w:p>
        </w:tc>
        <w:tc>
          <w:tcPr>
            <w:tcW w:w="850"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-4.4</w:t>
            </w:r>
          </w:p>
        </w:tc>
        <w:tc>
          <w:tcPr>
            <w:tcW w:w="709"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-6.2</w:t>
            </w:r>
          </w:p>
        </w:tc>
        <w:tc>
          <w:tcPr>
            <w:tcW w:w="851"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-5.8</w:t>
            </w:r>
          </w:p>
        </w:tc>
        <w:tc>
          <w:tcPr>
            <w:tcW w:w="851"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-5.2</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-5.6</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-4.7</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-4.5</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-4.3</w:t>
            </w:r>
          </w:p>
        </w:tc>
        <w:tc>
          <w:tcPr>
            <w:tcW w:w="1126"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-4.0</w:t>
            </w:r>
          </w:p>
        </w:tc>
      </w:tr>
      <w:tr w:rsidR="00DC557D" w:rsidRPr="00DC557D" w:rsidTr="0047568F">
        <w:trPr>
          <w:trHeight w:val="300"/>
        </w:trPr>
        <w:tc>
          <w:tcPr>
            <w:tcW w:w="2552" w:type="dxa"/>
            <w:tcBorders>
              <w:top w:val="nil"/>
              <w:left w:val="single" w:sz="4" w:space="0" w:color="D9D9D9"/>
              <w:bottom w:val="single" w:sz="4" w:space="0" w:color="D9D9D9"/>
              <w:right w:val="single" w:sz="4" w:space="0" w:color="D9D9D9"/>
            </w:tcBorders>
            <w:shd w:val="clear" w:color="F8F9FA" w:fill="F8F9FA"/>
            <w:noWrap/>
            <w:vAlign w:val="center"/>
            <w:hideMark/>
          </w:tcPr>
          <w:p w:rsidR="00DC557D" w:rsidRPr="0047568F" w:rsidRDefault="00DC557D" w:rsidP="00DC557D">
            <w:pPr>
              <w:spacing w:after="0" w:line="240" w:lineRule="auto"/>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 xml:space="preserve">    Current Account Balance (billion USD)</w:t>
            </w:r>
          </w:p>
        </w:tc>
        <w:tc>
          <w:tcPr>
            <w:tcW w:w="850"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-0.78</w:t>
            </w:r>
          </w:p>
        </w:tc>
        <w:tc>
          <w:tcPr>
            <w:tcW w:w="709"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-1.08</w:t>
            </w:r>
          </w:p>
        </w:tc>
        <w:tc>
          <w:tcPr>
            <w:tcW w:w="851"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-1.14</w:t>
            </w:r>
          </w:p>
        </w:tc>
        <w:tc>
          <w:tcPr>
            <w:tcW w:w="851"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-1.11</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-1.29</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-1.17</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-1.19</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-1.22</w:t>
            </w:r>
          </w:p>
        </w:tc>
        <w:tc>
          <w:tcPr>
            <w:tcW w:w="1126"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-1.21</w:t>
            </w:r>
          </w:p>
        </w:tc>
      </w:tr>
      <w:tr w:rsidR="00DC557D" w:rsidRPr="00DC557D" w:rsidTr="00127D2A">
        <w:trPr>
          <w:trHeight w:val="300"/>
        </w:trPr>
        <w:tc>
          <w:tcPr>
            <w:tcW w:w="11595" w:type="dxa"/>
            <w:gridSpan w:val="10"/>
            <w:tcBorders>
              <w:top w:val="single" w:sz="4" w:space="0" w:color="D9D9D9"/>
              <w:left w:val="single" w:sz="4" w:space="0" w:color="D9D9D9"/>
              <w:bottom w:val="single" w:sz="4" w:space="0" w:color="D9D9D9"/>
              <w:right w:val="single" w:sz="4" w:space="0" w:color="D9D9D9"/>
            </w:tcBorders>
            <w:shd w:val="clear" w:color="E9ECEF" w:fill="E9ECEF"/>
            <w:noWrap/>
            <w:vAlign w:val="center"/>
            <w:hideMark/>
          </w:tcPr>
          <w:p w:rsidR="00DC557D" w:rsidRPr="0047568F" w:rsidRDefault="00DC557D" w:rsidP="00DC557D">
            <w:pPr>
              <w:spacing w:after="0" w:line="240" w:lineRule="auto"/>
              <w:rPr>
                <w:rFonts w:ascii="Times New Roman" w:eastAsia="Times New Roman" w:hAnsi="Times New Roman" w:cs="Times New Roman"/>
                <w:b/>
                <w:bCs/>
                <w:color w:val="1F4E79"/>
                <w:lang w:eastAsia="en-IN" w:bidi="bn-IN"/>
              </w:rPr>
            </w:pPr>
            <w:r w:rsidRPr="0047568F">
              <w:rPr>
                <w:rFonts w:ascii="Times New Roman" w:eastAsia="Times New Roman" w:hAnsi="Times New Roman" w:cs="Times New Roman"/>
                <w:b/>
                <w:bCs/>
                <w:color w:val="1F4E79"/>
                <w:lang w:eastAsia="en-IN" w:bidi="bn-IN"/>
              </w:rPr>
              <w:t>Memorandum Items</w:t>
            </w:r>
          </w:p>
        </w:tc>
      </w:tr>
      <w:tr w:rsidR="00DC557D" w:rsidRPr="00DC557D" w:rsidTr="0047568F">
        <w:trPr>
          <w:trHeight w:val="300"/>
        </w:trPr>
        <w:tc>
          <w:tcPr>
            <w:tcW w:w="2552" w:type="dxa"/>
            <w:tcBorders>
              <w:top w:val="nil"/>
              <w:left w:val="single" w:sz="4" w:space="0" w:color="D9D9D9"/>
              <w:bottom w:val="single" w:sz="4" w:space="0" w:color="D9D9D9"/>
              <w:right w:val="single" w:sz="4" w:space="0" w:color="D9D9D9"/>
            </w:tcBorders>
            <w:shd w:val="clear" w:color="FFFFFF" w:fill="FFFFFF"/>
            <w:noWrap/>
            <w:vAlign w:val="center"/>
            <w:hideMark/>
          </w:tcPr>
          <w:p w:rsidR="00DC557D" w:rsidRPr="0047568F" w:rsidRDefault="00DC557D" w:rsidP="00DC557D">
            <w:pPr>
              <w:spacing w:after="0" w:line="240" w:lineRule="auto"/>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 xml:space="preserve">    Nominal GDP (billion USD)</w:t>
            </w:r>
          </w:p>
        </w:tc>
        <w:tc>
          <w:tcPr>
            <w:tcW w:w="850"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17.7</w:t>
            </w:r>
          </w:p>
        </w:tc>
        <w:tc>
          <w:tcPr>
            <w:tcW w:w="709"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17.4</w:t>
            </w:r>
          </w:p>
        </w:tc>
        <w:tc>
          <w:tcPr>
            <w:tcW w:w="851"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19.7</w:t>
            </w:r>
          </w:p>
        </w:tc>
        <w:tc>
          <w:tcPr>
            <w:tcW w:w="851" w:type="dxa"/>
            <w:tcBorders>
              <w:top w:val="nil"/>
              <w:left w:val="nil"/>
              <w:bottom w:val="single" w:sz="4" w:space="0" w:color="D9D9D9"/>
              <w:right w:val="single" w:sz="4" w:space="0" w:color="D9D9D9"/>
            </w:tcBorders>
            <w:shd w:val="clear" w:color="FFFFFF" w:fill="FFFFFF"/>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21.3</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23.1</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24.8</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26.5</w:t>
            </w:r>
          </w:p>
        </w:tc>
        <w:tc>
          <w:tcPr>
            <w:tcW w:w="1164"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28.3</w:t>
            </w:r>
          </w:p>
        </w:tc>
        <w:tc>
          <w:tcPr>
            <w:tcW w:w="1126" w:type="dxa"/>
            <w:tcBorders>
              <w:top w:val="nil"/>
              <w:left w:val="nil"/>
              <w:bottom w:val="single" w:sz="4" w:space="0" w:color="D9D9D9"/>
              <w:right w:val="single" w:sz="4" w:space="0" w:color="D9D9D9"/>
            </w:tcBorders>
            <w:shd w:val="clear" w:color="F4F9F4" w:fill="F4F9F4"/>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30.2</w:t>
            </w:r>
          </w:p>
        </w:tc>
      </w:tr>
      <w:tr w:rsidR="00DC557D" w:rsidRPr="00DC557D" w:rsidTr="0047568F">
        <w:trPr>
          <w:trHeight w:val="300"/>
        </w:trPr>
        <w:tc>
          <w:tcPr>
            <w:tcW w:w="2552" w:type="dxa"/>
            <w:tcBorders>
              <w:top w:val="nil"/>
              <w:left w:val="single" w:sz="4" w:space="0" w:color="D9D9D9"/>
              <w:bottom w:val="single" w:sz="4" w:space="0" w:color="D9D9D9"/>
              <w:right w:val="single" w:sz="4" w:space="0" w:color="D9D9D9"/>
            </w:tcBorders>
            <w:shd w:val="clear" w:color="F8F9FA" w:fill="F8F9FA"/>
            <w:noWrap/>
            <w:vAlign w:val="center"/>
            <w:hideMark/>
          </w:tcPr>
          <w:p w:rsidR="00DC557D" w:rsidRPr="0047568F" w:rsidRDefault="00DC557D" w:rsidP="00DC557D">
            <w:pPr>
              <w:spacing w:after="0" w:line="240" w:lineRule="auto"/>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 xml:space="preserve">    Population (millions)</w:t>
            </w:r>
          </w:p>
        </w:tc>
        <w:tc>
          <w:tcPr>
            <w:tcW w:w="850"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12.9</w:t>
            </w:r>
          </w:p>
        </w:tc>
        <w:tc>
          <w:tcPr>
            <w:tcW w:w="709"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13.3</w:t>
            </w:r>
          </w:p>
        </w:tc>
        <w:tc>
          <w:tcPr>
            <w:tcW w:w="851"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13.7</w:t>
            </w:r>
          </w:p>
        </w:tc>
        <w:tc>
          <w:tcPr>
            <w:tcW w:w="851" w:type="dxa"/>
            <w:tcBorders>
              <w:top w:val="nil"/>
              <w:left w:val="nil"/>
              <w:bottom w:val="single" w:sz="4" w:space="0" w:color="D9D9D9"/>
              <w:right w:val="single" w:sz="4" w:space="0" w:color="D9D9D9"/>
            </w:tcBorders>
            <w:shd w:val="clear" w:color="F2F5F9" w:fill="F2F5F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14.1</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14.5</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14.9</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15.3</w:t>
            </w:r>
          </w:p>
        </w:tc>
        <w:tc>
          <w:tcPr>
            <w:tcW w:w="1164"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15.7</w:t>
            </w:r>
          </w:p>
        </w:tc>
        <w:tc>
          <w:tcPr>
            <w:tcW w:w="1126" w:type="dxa"/>
            <w:tcBorders>
              <w:top w:val="nil"/>
              <w:left w:val="nil"/>
              <w:bottom w:val="single" w:sz="4" w:space="0" w:color="D9D9D9"/>
              <w:right w:val="single" w:sz="4" w:space="0" w:color="D9D9D9"/>
            </w:tcBorders>
            <w:shd w:val="clear" w:color="E8F5E9" w:fill="E8F5E9"/>
            <w:noWrap/>
            <w:vAlign w:val="center"/>
            <w:hideMark/>
          </w:tcPr>
          <w:p w:rsidR="00DC557D" w:rsidRPr="0047568F" w:rsidRDefault="00DC557D" w:rsidP="0047568F">
            <w:pPr>
              <w:spacing w:after="0" w:line="240" w:lineRule="auto"/>
              <w:jc w:val="center"/>
              <w:rPr>
                <w:rFonts w:ascii="Times New Roman" w:eastAsia="Times New Roman" w:hAnsi="Times New Roman" w:cs="Times New Roman"/>
                <w:color w:val="000000"/>
                <w:sz w:val="20"/>
                <w:szCs w:val="20"/>
                <w:lang w:eastAsia="en-IN" w:bidi="bn-IN"/>
              </w:rPr>
            </w:pPr>
            <w:r w:rsidRPr="0047568F">
              <w:rPr>
                <w:rFonts w:ascii="Times New Roman" w:eastAsia="Times New Roman" w:hAnsi="Times New Roman" w:cs="Times New Roman"/>
                <w:color w:val="000000"/>
                <w:sz w:val="20"/>
                <w:szCs w:val="20"/>
                <w:lang w:eastAsia="en-IN" w:bidi="bn-IN"/>
              </w:rPr>
              <w:t>16.1</w:t>
            </w:r>
          </w:p>
        </w:tc>
      </w:tr>
      <w:tr w:rsidR="00DC557D" w:rsidRPr="00DC557D" w:rsidTr="00127D2A">
        <w:trPr>
          <w:trHeight w:val="300"/>
        </w:trPr>
        <w:tc>
          <w:tcPr>
            <w:tcW w:w="11595" w:type="dxa"/>
            <w:gridSpan w:val="10"/>
            <w:tcBorders>
              <w:top w:val="nil"/>
              <w:left w:val="nil"/>
              <w:bottom w:val="nil"/>
              <w:right w:val="nil"/>
            </w:tcBorders>
            <w:shd w:val="clear" w:color="auto" w:fill="auto"/>
            <w:noWrap/>
            <w:vAlign w:val="center"/>
            <w:hideMark/>
          </w:tcPr>
          <w:p w:rsidR="00DC557D" w:rsidRPr="0047568F" w:rsidRDefault="00DC557D" w:rsidP="00DC557D">
            <w:pPr>
              <w:spacing w:after="0" w:line="240" w:lineRule="auto"/>
              <w:rPr>
                <w:rFonts w:ascii="Times New Roman" w:eastAsia="Times New Roman" w:hAnsi="Times New Roman" w:cs="Times New Roman"/>
                <w:color w:val="595959"/>
                <w:sz w:val="18"/>
                <w:szCs w:val="18"/>
                <w:lang w:eastAsia="en-IN" w:bidi="bn-IN"/>
              </w:rPr>
            </w:pPr>
            <w:r w:rsidRPr="0047568F">
              <w:rPr>
                <w:rFonts w:ascii="Times New Roman" w:eastAsia="Times New Roman" w:hAnsi="Times New Roman" w:cs="Times New Roman"/>
                <w:color w:val="595959"/>
                <w:sz w:val="18"/>
                <w:szCs w:val="18"/>
                <w:lang w:eastAsia="en-IN" w:bidi="bn-IN"/>
              </w:rPr>
              <w:t>Sources: IMF World Economic Outlook (WEO) Database, Central Bank of West African States (BCEAO), and IMF Staff Calculations.</w:t>
            </w:r>
          </w:p>
        </w:tc>
      </w:tr>
      <w:tr w:rsidR="00DC557D" w:rsidRPr="00DC557D" w:rsidTr="000E3BCD">
        <w:trPr>
          <w:trHeight w:val="80"/>
        </w:trPr>
        <w:tc>
          <w:tcPr>
            <w:tcW w:w="11595" w:type="dxa"/>
            <w:gridSpan w:val="10"/>
            <w:tcBorders>
              <w:top w:val="nil"/>
              <w:left w:val="nil"/>
              <w:bottom w:val="nil"/>
              <w:right w:val="nil"/>
            </w:tcBorders>
            <w:shd w:val="clear" w:color="auto" w:fill="auto"/>
            <w:noWrap/>
            <w:vAlign w:val="center"/>
            <w:hideMark/>
          </w:tcPr>
          <w:p w:rsidR="00DC557D" w:rsidRPr="0047568F" w:rsidRDefault="00DC557D" w:rsidP="00DC557D">
            <w:pPr>
              <w:spacing w:after="0" w:line="240" w:lineRule="auto"/>
              <w:rPr>
                <w:rFonts w:ascii="Times New Roman" w:eastAsia="Times New Roman" w:hAnsi="Times New Roman" w:cs="Times New Roman"/>
                <w:color w:val="595959"/>
                <w:sz w:val="18"/>
                <w:szCs w:val="18"/>
                <w:lang w:eastAsia="en-IN" w:bidi="bn-IN"/>
              </w:rPr>
            </w:pPr>
            <w:r w:rsidRPr="0047568F">
              <w:rPr>
                <w:rFonts w:ascii="Times New Roman" w:eastAsia="Times New Roman" w:hAnsi="Times New Roman" w:cs="Times New Roman"/>
                <w:color w:val="595959"/>
                <w:sz w:val="18"/>
                <w:szCs w:val="18"/>
                <w:lang w:eastAsia="en-IN" w:bidi="bn-IN"/>
              </w:rPr>
              <w:t>1/ Inflation figures reflect official national statistics adapted to annual IMF staff reporting standards.</w:t>
            </w:r>
          </w:p>
        </w:tc>
      </w:tr>
      <w:tr w:rsidR="00DC557D" w:rsidRPr="00DC557D" w:rsidTr="000E3BCD">
        <w:trPr>
          <w:trHeight w:val="80"/>
        </w:trPr>
        <w:tc>
          <w:tcPr>
            <w:tcW w:w="11595" w:type="dxa"/>
            <w:gridSpan w:val="10"/>
            <w:tcBorders>
              <w:top w:val="nil"/>
              <w:left w:val="nil"/>
              <w:bottom w:val="nil"/>
              <w:right w:val="nil"/>
            </w:tcBorders>
            <w:shd w:val="clear" w:color="auto" w:fill="auto"/>
            <w:noWrap/>
            <w:vAlign w:val="center"/>
            <w:hideMark/>
          </w:tcPr>
          <w:p w:rsidR="00DC557D" w:rsidRPr="0047568F" w:rsidRDefault="00DC557D" w:rsidP="00DC557D">
            <w:pPr>
              <w:spacing w:after="0" w:line="240" w:lineRule="auto"/>
              <w:rPr>
                <w:rFonts w:ascii="Times New Roman" w:eastAsia="Times New Roman" w:hAnsi="Times New Roman" w:cs="Times New Roman"/>
                <w:color w:val="595959"/>
                <w:sz w:val="18"/>
                <w:szCs w:val="18"/>
                <w:lang w:eastAsia="en-IN" w:bidi="bn-IN"/>
              </w:rPr>
            </w:pPr>
            <w:r w:rsidRPr="0047568F">
              <w:rPr>
                <w:rFonts w:ascii="Times New Roman" w:eastAsia="Times New Roman" w:hAnsi="Times New Roman" w:cs="Times New Roman"/>
                <w:color w:val="595959"/>
                <w:sz w:val="18"/>
                <w:szCs w:val="18"/>
                <w:lang w:eastAsia="en-IN" w:bidi="bn-IN"/>
              </w:rPr>
              <w:t>2/ Unemployment rate represents actual historical figures up through 2023 and official projections thereafter.</w:t>
            </w:r>
          </w:p>
        </w:tc>
      </w:tr>
      <w:tr w:rsidR="00DC557D" w:rsidRPr="00DC557D" w:rsidTr="00127D2A">
        <w:trPr>
          <w:trHeight w:val="300"/>
        </w:trPr>
        <w:tc>
          <w:tcPr>
            <w:tcW w:w="11595" w:type="dxa"/>
            <w:gridSpan w:val="10"/>
            <w:tcBorders>
              <w:top w:val="nil"/>
              <w:left w:val="nil"/>
              <w:bottom w:val="nil"/>
              <w:right w:val="nil"/>
            </w:tcBorders>
            <w:shd w:val="clear" w:color="auto" w:fill="auto"/>
            <w:noWrap/>
            <w:vAlign w:val="center"/>
            <w:hideMark/>
          </w:tcPr>
          <w:p w:rsidR="00DC557D" w:rsidRPr="0047568F" w:rsidRDefault="00DC557D" w:rsidP="00DC557D">
            <w:pPr>
              <w:spacing w:after="0" w:line="240" w:lineRule="auto"/>
              <w:rPr>
                <w:rFonts w:ascii="Times New Roman" w:eastAsia="Times New Roman" w:hAnsi="Times New Roman" w:cs="Times New Roman"/>
                <w:color w:val="595959"/>
                <w:sz w:val="18"/>
                <w:szCs w:val="18"/>
                <w:lang w:eastAsia="en-IN" w:bidi="bn-IN"/>
              </w:rPr>
            </w:pPr>
            <w:r w:rsidRPr="0047568F">
              <w:rPr>
                <w:rFonts w:ascii="Times New Roman" w:eastAsia="Times New Roman" w:hAnsi="Times New Roman" w:cs="Times New Roman"/>
                <w:color w:val="595959"/>
                <w:sz w:val="18"/>
                <w:szCs w:val="18"/>
                <w:lang w:eastAsia="en-IN" w:bidi="bn-IN"/>
              </w:rPr>
              <w:t>3/ Methodology and indicators based on OECD / IMF framework.</w:t>
            </w:r>
          </w:p>
        </w:tc>
      </w:tr>
      <w:tr w:rsidR="00DC557D" w:rsidRPr="00DC557D" w:rsidTr="001C736B">
        <w:trPr>
          <w:trHeight w:val="80"/>
        </w:trPr>
        <w:tc>
          <w:tcPr>
            <w:tcW w:w="11595" w:type="dxa"/>
            <w:gridSpan w:val="10"/>
            <w:tcBorders>
              <w:top w:val="nil"/>
              <w:left w:val="nil"/>
              <w:bottom w:val="nil"/>
              <w:right w:val="nil"/>
            </w:tcBorders>
            <w:shd w:val="clear" w:color="auto" w:fill="auto"/>
            <w:noWrap/>
            <w:vAlign w:val="center"/>
            <w:hideMark/>
          </w:tcPr>
          <w:p w:rsidR="00DC557D" w:rsidRPr="0047568F" w:rsidRDefault="00DC557D" w:rsidP="00DC557D">
            <w:pPr>
              <w:spacing w:after="0" w:line="240" w:lineRule="auto"/>
              <w:rPr>
                <w:rFonts w:ascii="Times New Roman" w:eastAsia="Times New Roman" w:hAnsi="Times New Roman" w:cs="Times New Roman"/>
                <w:color w:val="595959"/>
                <w:sz w:val="18"/>
                <w:szCs w:val="18"/>
                <w:lang w:eastAsia="en-IN" w:bidi="bn-IN"/>
              </w:rPr>
            </w:pPr>
            <w:r w:rsidRPr="0047568F">
              <w:rPr>
                <w:rFonts w:ascii="Times New Roman" w:eastAsia="Times New Roman" w:hAnsi="Times New Roman" w:cs="Times New Roman"/>
                <w:color w:val="595959"/>
                <w:sz w:val="18"/>
                <w:szCs w:val="18"/>
                <w:lang w:eastAsia="en-IN" w:bidi="bn-IN"/>
              </w:rPr>
              <w:t>4/ Staff projections based on IMF World Economic Outlook database estimates.</w:t>
            </w:r>
          </w:p>
        </w:tc>
      </w:tr>
      <w:tr w:rsidR="00DC557D" w:rsidRPr="00DC557D" w:rsidTr="000E3BCD">
        <w:trPr>
          <w:trHeight w:val="385"/>
        </w:trPr>
        <w:tc>
          <w:tcPr>
            <w:tcW w:w="11595" w:type="dxa"/>
            <w:gridSpan w:val="10"/>
            <w:tcBorders>
              <w:top w:val="nil"/>
              <w:left w:val="nil"/>
              <w:bottom w:val="nil"/>
              <w:right w:val="nil"/>
            </w:tcBorders>
            <w:shd w:val="clear" w:color="auto" w:fill="auto"/>
            <w:noWrap/>
            <w:vAlign w:val="center"/>
            <w:hideMark/>
          </w:tcPr>
          <w:p w:rsidR="00DC557D" w:rsidRPr="0047568F" w:rsidRDefault="00DC557D" w:rsidP="00DC557D">
            <w:pPr>
              <w:spacing w:after="0" w:line="240" w:lineRule="auto"/>
              <w:rPr>
                <w:rFonts w:ascii="Times New Roman" w:eastAsia="Times New Roman" w:hAnsi="Times New Roman" w:cs="Times New Roman"/>
                <w:color w:val="595959"/>
                <w:sz w:val="18"/>
                <w:szCs w:val="18"/>
                <w:lang w:eastAsia="en-IN" w:bidi="bn-IN"/>
              </w:rPr>
            </w:pPr>
            <w:r w:rsidRPr="0047568F">
              <w:rPr>
                <w:rFonts w:ascii="Times New Roman" w:eastAsia="Times New Roman" w:hAnsi="Times New Roman" w:cs="Times New Roman"/>
                <w:color w:val="595959"/>
                <w:sz w:val="18"/>
                <w:szCs w:val="18"/>
                <w:lang w:eastAsia="en-IN" w:bidi="bn-IN"/>
              </w:rPr>
              <w:t>Source: IMF Executive Board Article IV Consultation &amp; World Economic Outlook Database.</w:t>
            </w:r>
          </w:p>
          <w:p w:rsidR="00546D16" w:rsidRPr="0047568F" w:rsidRDefault="00546D16" w:rsidP="00DC557D">
            <w:pPr>
              <w:spacing w:after="0" w:line="240" w:lineRule="auto"/>
              <w:rPr>
                <w:rFonts w:ascii="Times New Roman" w:eastAsia="Times New Roman" w:hAnsi="Times New Roman" w:cs="Times New Roman"/>
                <w:color w:val="595959"/>
                <w:sz w:val="18"/>
                <w:szCs w:val="18"/>
                <w:lang w:eastAsia="en-IN" w:bidi="bn-IN"/>
              </w:rPr>
            </w:pPr>
          </w:p>
          <w:p w:rsidR="00546D16" w:rsidRPr="0047568F" w:rsidRDefault="00546D16" w:rsidP="00DC557D">
            <w:pPr>
              <w:spacing w:after="0" w:line="240" w:lineRule="auto"/>
              <w:rPr>
                <w:rFonts w:ascii="Times New Roman" w:eastAsia="Times New Roman" w:hAnsi="Times New Roman" w:cs="Times New Roman"/>
                <w:color w:val="595959"/>
                <w:sz w:val="18"/>
                <w:szCs w:val="18"/>
                <w:lang w:eastAsia="en-IN" w:bidi="bn-IN"/>
              </w:rPr>
            </w:pPr>
          </w:p>
          <w:p w:rsidR="00546D16" w:rsidRPr="0047568F" w:rsidRDefault="00546D16" w:rsidP="00DC557D">
            <w:pPr>
              <w:spacing w:after="0" w:line="240" w:lineRule="auto"/>
              <w:rPr>
                <w:rFonts w:ascii="Times New Roman" w:eastAsia="Times New Roman" w:hAnsi="Times New Roman" w:cs="Times New Roman"/>
                <w:color w:val="595959"/>
                <w:sz w:val="18"/>
                <w:szCs w:val="18"/>
                <w:lang w:eastAsia="en-IN" w:bidi="bn-IN"/>
              </w:rPr>
            </w:pPr>
          </w:p>
          <w:p w:rsidR="0056462D" w:rsidRPr="0047568F" w:rsidRDefault="00480437" w:rsidP="00DC557D">
            <w:pPr>
              <w:spacing w:after="0" w:line="240" w:lineRule="auto"/>
              <w:rPr>
                <w:rFonts w:ascii="Times New Roman" w:eastAsia="Times New Roman" w:hAnsi="Times New Roman" w:cs="Times New Roman"/>
                <w:color w:val="595959"/>
                <w:sz w:val="18"/>
                <w:szCs w:val="18"/>
                <w:lang w:eastAsia="en-IN" w:bidi="bn-IN"/>
              </w:rPr>
            </w:pPr>
            <w:r w:rsidRPr="0047568F">
              <w:rPr>
                <w:rFonts w:ascii="Times New Roman" w:eastAsia="Times New Roman" w:hAnsi="Times New Roman" w:cs="Times New Roman"/>
                <w:noProof/>
                <w:color w:val="595959"/>
                <w:sz w:val="18"/>
                <w:szCs w:val="18"/>
                <w:lang w:eastAsia="en-IN" w:bidi="bn-IN"/>
              </w:rPr>
              <w:lastRenderedPageBreak/>
              <w:drawing>
                <wp:inline distT="0" distB="0" distL="0" distR="0">
                  <wp:extent cx="7229475" cy="92868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_Generated_Image.png"/>
                          <pic:cNvPicPr/>
                        </pic:nvPicPr>
                        <pic:blipFill>
                          <a:blip r:embed="rId9"/>
                          <a:stretch>
                            <a:fillRect/>
                          </a:stretch>
                        </pic:blipFill>
                        <pic:spPr>
                          <a:xfrm>
                            <a:off x="0" y="0"/>
                            <a:ext cx="7229475" cy="9286875"/>
                          </a:xfrm>
                          <a:prstGeom prst="rect">
                            <a:avLst/>
                          </a:prstGeom>
                        </pic:spPr>
                      </pic:pic>
                    </a:graphicData>
                  </a:graphic>
                </wp:inline>
              </w:drawing>
            </w:r>
          </w:p>
        </w:tc>
      </w:tr>
    </w:tbl>
    <w:p w:rsidR="00014DCE" w:rsidRPr="007D2337" w:rsidRDefault="00014DCE" w:rsidP="00014DCE">
      <w:pPr>
        <w:spacing w:before="100" w:beforeAutospacing="1" w:after="100" w:afterAutospacing="1" w:line="240" w:lineRule="auto"/>
        <w:outlineLvl w:val="2"/>
        <w:rPr>
          <w:rFonts w:ascii="Times New Roman" w:eastAsia="Times New Roman" w:hAnsi="Times New Roman" w:cs="Times New Roman"/>
          <w:b/>
          <w:bCs/>
          <w:color w:val="E36C0A" w:themeColor="accent6" w:themeShade="BF"/>
          <w:sz w:val="24"/>
          <w:szCs w:val="24"/>
        </w:rPr>
      </w:pPr>
      <w:r w:rsidRPr="007D2337">
        <w:rPr>
          <w:rFonts w:ascii="Times New Roman" w:eastAsia="Times New Roman" w:hAnsi="Times New Roman" w:cs="Times New Roman"/>
          <w:b/>
          <w:bCs/>
          <w:color w:val="E36C0A" w:themeColor="accent6" w:themeShade="BF"/>
          <w:sz w:val="24"/>
          <w:szCs w:val="24"/>
        </w:rPr>
        <w:lastRenderedPageBreak/>
        <w:t>Executive Summary of Graphical Trends (2021–2029)</w:t>
      </w:r>
      <w:r w:rsidR="007D2337" w:rsidRPr="007D2337">
        <w:rPr>
          <w:rFonts w:ascii="Times New Roman" w:eastAsia="Times New Roman" w:hAnsi="Times New Roman" w:cs="Times New Roman"/>
          <w:b/>
          <w:bCs/>
          <w:color w:val="E36C0A" w:themeColor="accent6" w:themeShade="BF"/>
          <w:sz w:val="24"/>
          <w:szCs w:val="24"/>
        </w:rPr>
        <w:t>:</w:t>
      </w:r>
    </w:p>
    <w:p w:rsidR="00014DCE" w:rsidRPr="00D53553" w:rsidRDefault="00014DCE" w:rsidP="00887426">
      <w:pPr>
        <w:spacing w:before="100" w:beforeAutospacing="1" w:after="100" w:afterAutospacing="1" w:line="240" w:lineRule="auto"/>
        <w:ind w:firstLine="360"/>
        <w:outlineLvl w:val="3"/>
        <w:rPr>
          <w:rFonts w:ascii="Times New Roman" w:eastAsia="Times New Roman" w:hAnsi="Times New Roman" w:cs="Times New Roman"/>
          <w:b/>
          <w:bCs/>
          <w:sz w:val="24"/>
          <w:szCs w:val="24"/>
        </w:rPr>
      </w:pPr>
      <w:r w:rsidRPr="00D53553">
        <w:rPr>
          <w:rFonts w:ascii="Times New Roman" w:eastAsia="Times New Roman" w:hAnsi="Times New Roman" w:cs="Times New Roman"/>
          <w:b/>
          <w:bCs/>
          <w:sz w:val="24"/>
          <w:szCs w:val="24"/>
        </w:rPr>
        <w:t>A. Real Economy &amp; Price Stability</w:t>
      </w:r>
    </w:p>
    <w:p w:rsidR="00014DCE" w:rsidRPr="00D53553" w:rsidRDefault="00014DCE" w:rsidP="00D53553">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D53553">
        <w:rPr>
          <w:rFonts w:ascii="Times New Roman" w:eastAsia="Times New Roman" w:hAnsi="Times New Roman" w:cs="Times New Roman"/>
          <w:b/>
          <w:bCs/>
          <w:sz w:val="24"/>
          <w:szCs w:val="24"/>
        </w:rPr>
        <w:t>Growth Momentum:</w:t>
      </w:r>
      <w:r w:rsidRPr="00D53553">
        <w:rPr>
          <w:rFonts w:ascii="Times New Roman" w:eastAsia="Times New Roman" w:hAnsi="Times New Roman" w:cs="Times New Roman"/>
          <w:sz w:val="24"/>
          <w:szCs w:val="24"/>
        </w:rPr>
        <w:t xml:space="preserve"> Real GDP growth peaks at </w:t>
      </w:r>
      <w:r w:rsidRPr="00D53553">
        <w:rPr>
          <w:rFonts w:ascii="Times New Roman" w:eastAsia="Times New Roman" w:hAnsi="Times New Roman" w:cs="Times New Roman"/>
          <w:b/>
          <w:bCs/>
          <w:sz w:val="24"/>
          <w:szCs w:val="24"/>
        </w:rPr>
        <w:t>7.5%</w:t>
      </w:r>
      <w:r w:rsidRPr="00D53553">
        <w:rPr>
          <w:rFonts w:ascii="Times New Roman" w:eastAsia="Times New Roman" w:hAnsi="Times New Roman" w:cs="Times New Roman"/>
          <w:sz w:val="24"/>
          <w:szCs w:val="24"/>
        </w:rPr>
        <w:t xml:space="preserve"> in 2024–2025 before stabilizing at a sustainable medium-term potential rate of </w:t>
      </w:r>
      <w:r w:rsidRPr="00D53553">
        <w:rPr>
          <w:rFonts w:ascii="Times New Roman" w:eastAsia="Times New Roman" w:hAnsi="Times New Roman" w:cs="Times New Roman"/>
          <w:b/>
          <w:bCs/>
          <w:sz w:val="24"/>
          <w:szCs w:val="24"/>
        </w:rPr>
        <w:t>6.0%</w:t>
      </w:r>
      <w:r w:rsidRPr="00D53553">
        <w:rPr>
          <w:rFonts w:ascii="Times New Roman" w:eastAsia="Times New Roman" w:hAnsi="Times New Roman" w:cs="Times New Roman"/>
          <w:sz w:val="24"/>
          <w:szCs w:val="24"/>
        </w:rPr>
        <w:t xml:space="preserve"> through 2029.</w:t>
      </w:r>
    </w:p>
    <w:p w:rsidR="00014DCE" w:rsidRPr="00D53553" w:rsidRDefault="00014DCE" w:rsidP="00D53553">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D53553">
        <w:rPr>
          <w:rFonts w:ascii="Times New Roman" w:eastAsia="Times New Roman" w:hAnsi="Times New Roman" w:cs="Times New Roman"/>
          <w:b/>
          <w:bCs/>
          <w:sz w:val="24"/>
          <w:szCs w:val="24"/>
        </w:rPr>
        <w:t>Price Stability:</w:t>
      </w:r>
      <w:r w:rsidRPr="00D53553">
        <w:rPr>
          <w:rFonts w:ascii="Times New Roman" w:eastAsia="Times New Roman" w:hAnsi="Times New Roman" w:cs="Times New Roman"/>
          <w:sz w:val="24"/>
          <w:szCs w:val="24"/>
        </w:rPr>
        <w:t xml:space="preserve"> Following a temporary peak of </w:t>
      </w:r>
      <w:r w:rsidRPr="00D53553">
        <w:rPr>
          <w:rFonts w:ascii="Times New Roman" w:eastAsia="Times New Roman" w:hAnsi="Times New Roman" w:cs="Times New Roman"/>
          <w:b/>
          <w:bCs/>
          <w:sz w:val="24"/>
          <w:szCs w:val="24"/>
        </w:rPr>
        <w:t>3.7%</w:t>
      </w:r>
      <w:r w:rsidRPr="00D53553">
        <w:rPr>
          <w:rFonts w:ascii="Times New Roman" w:eastAsia="Times New Roman" w:hAnsi="Times New Roman" w:cs="Times New Roman"/>
          <w:sz w:val="24"/>
          <w:szCs w:val="24"/>
        </w:rPr>
        <w:t xml:space="preserve"> in 2023, average consumer price inflation anchors firmly at the </w:t>
      </w:r>
      <w:r w:rsidRPr="00D53553">
        <w:rPr>
          <w:rFonts w:ascii="Times New Roman" w:eastAsia="Times New Roman" w:hAnsi="Times New Roman" w:cs="Times New Roman"/>
          <w:b/>
          <w:bCs/>
          <w:sz w:val="24"/>
          <w:szCs w:val="24"/>
        </w:rPr>
        <w:t>2.0%</w:t>
      </w:r>
      <w:r w:rsidRPr="00D53553">
        <w:rPr>
          <w:rFonts w:ascii="Times New Roman" w:eastAsia="Times New Roman" w:hAnsi="Times New Roman" w:cs="Times New Roman"/>
          <w:sz w:val="24"/>
          <w:szCs w:val="24"/>
        </w:rPr>
        <w:t xml:space="preserve"> convergence target set by the West African Economic and Monetary Union (WAEMU) through 2029.</w:t>
      </w:r>
    </w:p>
    <w:p w:rsidR="00014DCE" w:rsidRPr="00D53553" w:rsidRDefault="00014DCE" w:rsidP="00887426">
      <w:pPr>
        <w:spacing w:before="100" w:beforeAutospacing="1" w:after="100" w:afterAutospacing="1" w:line="240" w:lineRule="auto"/>
        <w:ind w:firstLine="360"/>
        <w:outlineLvl w:val="3"/>
        <w:rPr>
          <w:rFonts w:ascii="Times New Roman" w:eastAsia="Times New Roman" w:hAnsi="Times New Roman" w:cs="Times New Roman"/>
          <w:b/>
          <w:bCs/>
          <w:sz w:val="24"/>
          <w:szCs w:val="24"/>
        </w:rPr>
      </w:pPr>
      <w:r w:rsidRPr="00D53553">
        <w:rPr>
          <w:rFonts w:ascii="Times New Roman" w:eastAsia="Times New Roman" w:hAnsi="Times New Roman" w:cs="Times New Roman"/>
          <w:b/>
          <w:bCs/>
          <w:sz w:val="24"/>
          <w:szCs w:val="24"/>
        </w:rPr>
        <w:t>B. Fiscal Consolidation Trajectory</w:t>
      </w:r>
    </w:p>
    <w:p w:rsidR="00014DCE" w:rsidRPr="00D53553" w:rsidRDefault="00014DCE" w:rsidP="00D53553">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D53553">
        <w:rPr>
          <w:rFonts w:ascii="Times New Roman" w:eastAsia="Times New Roman" w:hAnsi="Times New Roman" w:cs="Times New Roman"/>
          <w:b/>
          <w:bCs/>
          <w:sz w:val="24"/>
          <w:szCs w:val="24"/>
        </w:rPr>
        <w:t>Revenue Mobilization:</w:t>
      </w:r>
      <w:r w:rsidRPr="00D53553">
        <w:rPr>
          <w:rFonts w:ascii="Times New Roman" w:eastAsia="Times New Roman" w:hAnsi="Times New Roman" w:cs="Times New Roman"/>
          <w:sz w:val="24"/>
          <w:szCs w:val="24"/>
        </w:rPr>
        <w:t xml:space="preserve"> General government revenue expands steadily from </w:t>
      </w:r>
      <w:r w:rsidRPr="00D53553">
        <w:rPr>
          <w:rFonts w:ascii="Times New Roman" w:eastAsia="Times New Roman" w:hAnsi="Times New Roman" w:cs="Times New Roman"/>
          <w:b/>
          <w:bCs/>
          <w:sz w:val="24"/>
          <w:szCs w:val="24"/>
        </w:rPr>
        <w:t>13.2% of GDP</w:t>
      </w:r>
      <w:r w:rsidRPr="00D53553">
        <w:rPr>
          <w:rFonts w:ascii="Times New Roman" w:eastAsia="Times New Roman" w:hAnsi="Times New Roman" w:cs="Times New Roman"/>
          <w:sz w:val="24"/>
          <w:szCs w:val="24"/>
        </w:rPr>
        <w:t xml:space="preserve"> (2021) to </w:t>
      </w:r>
      <w:r w:rsidRPr="00D53553">
        <w:rPr>
          <w:rFonts w:ascii="Times New Roman" w:eastAsia="Times New Roman" w:hAnsi="Times New Roman" w:cs="Times New Roman"/>
          <w:b/>
          <w:bCs/>
          <w:sz w:val="24"/>
          <w:szCs w:val="24"/>
        </w:rPr>
        <w:t>15.5% of GDP</w:t>
      </w:r>
      <w:r w:rsidRPr="00D53553">
        <w:rPr>
          <w:rFonts w:ascii="Times New Roman" w:eastAsia="Times New Roman" w:hAnsi="Times New Roman" w:cs="Times New Roman"/>
          <w:sz w:val="24"/>
          <w:szCs w:val="24"/>
        </w:rPr>
        <w:t xml:space="preserve"> (2029), reflecting ongoing tax administration reforms.</w:t>
      </w:r>
    </w:p>
    <w:p w:rsidR="00014DCE" w:rsidRPr="00D53553" w:rsidRDefault="00014DCE" w:rsidP="00D53553">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D53553">
        <w:rPr>
          <w:rFonts w:ascii="Times New Roman" w:eastAsia="Times New Roman" w:hAnsi="Times New Roman" w:cs="Times New Roman"/>
          <w:b/>
          <w:bCs/>
          <w:sz w:val="24"/>
          <w:szCs w:val="24"/>
        </w:rPr>
        <w:t>Deficit Reduction:</w:t>
      </w:r>
      <w:r w:rsidRPr="00D53553">
        <w:rPr>
          <w:rFonts w:ascii="Times New Roman" w:eastAsia="Times New Roman" w:hAnsi="Times New Roman" w:cs="Times New Roman"/>
          <w:sz w:val="24"/>
          <w:szCs w:val="24"/>
        </w:rPr>
        <w:t xml:space="preserve"> The overall fiscal deficit narrows significantly from </w:t>
      </w:r>
      <w:r w:rsidRPr="00D53553">
        <w:rPr>
          <w:rFonts w:ascii="Times New Roman" w:eastAsia="Times New Roman" w:hAnsi="Times New Roman" w:cs="Times New Roman"/>
          <w:b/>
          <w:bCs/>
          <w:sz w:val="24"/>
          <w:szCs w:val="24"/>
        </w:rPr>
        <w:t>-5.7% of GDP</w:t>
      </w:r>
      <w:r w:rsidRPr="00D53553">
        <w:rPr>
          <w:rFonts w:ascii="Times New Roman" w:eastAsia="Times New Roman" w:hAnsi="Times New Roman" w:cs="Times New Roman"/>
          <w:sz w:val="24"/>
          <w:szCs w:val="24"/>
        </w:rPr>
        <w:t xml:space="preserve"> (2021) down to </w:t>
      </w:r>
      <w:r w:rsidRPr="00D53553">
        <w:rPr>
          <w:rFonts w:ascii="Times New Roman" w:eastAsia="Times New Roman" w:hAnsi="Times New Roman" w:cs="Times New Roman"/>
          <w:b/>
          <w:bCs/>
          <w:sz w:val="24"/>
          <w:szCs w:val="24"/>
        </w:rPr>
        <w:t>-2.75% of GDP</w:t>
      </w:r>
      <w:r w:rsidRPr="00D53553">
        <w:rPr>
          <w:rFonts w:ascii="Times New Roman" w:eastAsia="Times New Roman" w:hAnsi="Times New Roman" w:cs="Times New Roman"/>
          <w:sz w:val="24"/>
          <w:szCs w:val="24"/>
        </w:rPr>
        <w:t xml:space="preserve"> by 2029, bringing the deficit within the regional </w:t>
      </w:r>
      <w:r w:rsidRPr="00D53553">
        <w:rPr>
          <w:rFonts w:ascii="Times New Roman" w:eastAsia="Times New Roman" w:hAnsi="Times New Roman" w:cs="Times New Roman"/>
          <w:b/>
          <w:bCs/>
          <w:sz w:val="24"/>
          <w:szCs w:val="24"/>
        </w:rPr>
        <w:t>3.0% WAEMU convergence ceiling</w:t>
      </w:r>
      <w:r w:rsidRPr="00D53553">
        <w:rPr>
          <w:rFonts w:ascii="Times New Roman" w:eastAsia="Times New Roman" w:hAnsi="Times New Roman" w:cs="Times New Roman"/>
          <w:sz w:val="24"/>
          <w:szCs w:val="24"/>
        </w:rPr>
        <w:t xml:space="preserve"> starting in 2025.</w:t>
      </w:r>
    </w:p>
    <w:p w:rsidR="00014DCE" w:rsidRPr="00D53553" w:rsidRDefault="00014DCE" w:rsidP="00887426">
      <w:pPr>
        <w:spacing w:before="100" w:beforeAutospacing="1" w:after="100" w:afterAutospacing="1" w:line="240" w:lineRule="auto"/>
        <w:ind w:firstLine="360"/>
        <w:outlineLvl w:val="3"/>
        <w:rPr>
          <w:rFonts w:ascii="Times New Roman" w:eastAsia="Times New Roman" w:hAnsi="Times New Roman" w:cs="Times New Roman"/>
          <w:b/>
          <w:bCs/>
          <w:sz w:val="24"/>
          <w:szCs w:val="24"/>
        </w:rPr>
      </w:pPr>
      <w:r w:rsidRPr="00D53553">
        <w:rPr>
          <w:rFonts w:ascii="Times New Roman" w:eastAsia="Times New Roman" w:hAnsi="Times New Roman" w:cs="Times New Roman"/>
          <w:b/>
          <w:bCs/>
          <w:sz w:val="24"/>
          <w:szCs w:val="24"/>
        </w:rPr>
        <w:t>C. Public Debt &amp; External Balance</w:t>
      </w:r>
    </w:p>
    <w:p w:rsidR="00014DCE" w:rsidRPr="00D53553" w:rsidRDefault="00014DCE" w:rsidP="00D53553">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D53553">
        <w:rPr>
          <w:rFonts w:ascii="Times New Roman" w:eastAsia="Times New Roman" w:hAnsi="Times New Roman" w:cs="Times New Roman"/>
          <w:b/>
          <w:bCs/>
          <w:sz w:val="24"/>
          <w:szCs w:val="24"/>
        </w:rPr>
        <w:t>Debt De-escalation:</w:t>
      </w:r>
      <w:r w:rsidRPr="00D53553">
        <w:rPr>
          <w:rFonts w:ascii="Times New Roman" w:eastAsia="Times New Roman" w:hAnsi="Times New Roman" w:cs="Times New Roman"/>
          <w:sz w:val="24"/>
          <w:szCs w:val="24"/>
        </w:rPr>
        <w:t xml:space="preserve"> Gross public debt reaches a peak of </w:t>
      </w:r>
      <w:r w:rsidRPr="00D53553">
        <w:rPr>
          <w:rFonts w:ascii="Times New Roman" w:eastAsia="Times New Roman" w:hAnsi="Times New Roman" w:cs="Times New Roman"/>
          <w:b/>
          <w:bCs/>
          <w:sz w:val="24"/>
          <w:szCs w:val="24"/>
        </w:rPr>
        <w:t>60.5% of GDP</w:t>
      </w:r>
      <w:r w:rsidRPr="00D53553">
        <w:rPr>
          <w:rFonts w:ascii="Times New Roman" w:eastAsia="Times New Roman" w:hAnsi="Times New Roman" w:cs="Times New Roman"/>
          <w:sz w:val="24"/>
          <w:szCs w:val="24"/>
        </w:rPr>
        <w:t xml:space="preserve"> in 2024 before descending continuously down to </w:t>
      </w:r>
      <w:r w:rsidRPr="00D53553">
        <w:rPr>
          <w:rFonts w:ascii="Times New Roman" w:eastAsia="Times New Roman" w:hAnsi="Times New Roman" w:cs="Times New Roman"/>
          <w:b/>
          <w:bCs/>
          <w:sz w:val="24"/>
          <w:szCs w:val="24"/>
        </w:rPr>
        <w:t>50.0% of GDP</w:t>
      </w:r>
      <w:r w:rsidRPr="00D53553">
        <w:rPr>
          <w:rFonts w:ascii="Times New Roman" w:eastAsia="Times New Roman" w:hAnsi="Times New Roman" w:cs="Times New Roman"/>
          <w:sz w:val="24"/>
          <w:szCs w:val="24"/>
        </w:rPr>
        <w:t xml:space="preserve"> by 2029.</w:t>
      </w:r>
    </w:p>
    <w:p w:rsidR="00014DCE" w:rsidRPr="00D53553" w:rsidRDefault="00014DCE" w:rsidP="00D53553">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D53553">
        <w:rPr>
          <w:rFonts w:ascii="Times New Roman" w:eastAsia="Times New Roman" w:hAnsi="Times New Roman" w:cs="Times New Roman"/>
          <w:b/>
          <w:bCs/>
          <w:sz w:val="24"/>
          <w:szCs w:val="24"/>
        </w:rPr>
        <w:t>Current Account Improvement:</w:t>
      </w:r>
      <w:r w:rsidRPr="00D53553">
        <w:rPr>
          <w:rFonts w:ascii="Times New Roman" w:eastAsia="Times New Roman" w:hAnsi="Times New Roman" w:cs="Times New Roman"/>
          <w:sz w:val="24"/>
          <w:szCs w:val="24"/>
        </w:rPr>
        <w:t xml:space="preserve"> The external current account deficit narrows from its wide mark of </w:t>
      </w:r>
      <w:r w:rsidRPr="00D53553">
        <w:rPr>
          <w:rFonts w:ascii="Times New Roman" w:eastAsia="Times New Roman" w:hAnsi="Times New Roman" w:cs="Times New Roman"/>
          <w:b/>
          <w:bCs/>
          <w:sz w:val="24"/>
          <w:szCs w:val="24"/>
        </w:rPr>
        <w:t>-6.2% of GDP</w:t>
      </w:r>
      <w:r w:rsidRPr="00D53553">
        <w:rPr>
          <w:rFonts w:ascii="Times New Roman" w:eastAsia="Times New Roman" w:hAnsi="Times New Roman" w:cs="Times New Roman"/>
          <w:sz w:val="24"/>
          <w:szCs w:val="24"/>
        </w:rPr>
        <w:t xml:space="preserve"> in 2022 to </w:t>
      </w:r>
      <w:r w:rsidRPr="00D53553">
        <w:rPr>
          <w:rFonts w:ascii="Times New Roman" w:eastAsia="Times New Roman" w:hAnsi="Times New Roman" w:cs="Times New Roman"/>
          <w:b/>
          <w:bCs/>
          <w:sz w:val="24"/>
          <w:szCs w:val="24"/>
        </w:rPr>
        <w:t>-4.0% of GDP</w:t>
      </w:r>
      <w:r w:rsidRPr="00D53553">
        <w:rPr>
          <w:rFonts w:ascii="Times New Roman" w:eastAsia="Times New Roman" w:hAnsi="Times New Roman" w:cs="Times New Roman"/>
          <w:sz w:val="24"/>
          <w:szCs w:val="24"/>
        </w:rPr>
        <w:t xml:space="preserve"> by 2029.</w:t>
      </w:r>
    </w:p>
    <w:p w:rsidR="00014DCE" w:rsidRPr="00D53553" w:rsidRDefault="00014DCE" w:rsidP="00887426">
      <w:pPr>
        <w:spacing w:before="100" w:beforeAutospacing="1" w:after="100" w:afterAutospacing="1" w:line="240" w:lineRule="auto"/>
        <w:ind w:firstLine="360"/>
        <w:outlineLvl w:val="3"/>
        <w:rPr>
          <w:rFonts w:ascii="Times New Roman" w:eastAsia="Times New Roman" w:hAnsi="Times New Roman" w:cs="Times New Roman"/>
          <w:b/>
          <w:bCs/>
          <w:sz w:val="24"/>
          <w:szCs w:val="24"/>
        </w:rPr>
      </w:pPr>
      <w:r w:rsidRPr="00D53553">
        <w:rPr>
          <w:rFonts w:ascii="Times New Roman" w:eastAsia="Times New Roman" w:hAnsi="Times New Roman" w:cs="Times New Roman"/>
          <w:b/>
          <w:bCs/>
          <w:sz w:val="24"/>
          <w:szCs w:val="24"/>
        </w:rPr>
        <w:t>D. Economic Scale &amp; Demographics</w:t>
      </w:r>
    </w:p>
    <w:p w:rsidR="00014DCE" w:rsidRPr="00D53553" w:rsidRDefault="00014DCE" w:rsidP="00D53553">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D53553">
        <w:rPr>
          <w:rFonts w:ascii="Times New Roman" w:eastAsia="Times New Roman" w:hAnsi="Times New Roman" w:cs="Times New Roman"/>
          <w:b/>
          <w:bCs/>
          <w:sz w:val="24"/>
          <w:szCs w:val="24"/>
        </w:rPr>
        <w:t>GDP Expansion:</w:t>
      </w:r>
      <w:r w:rsidRPr="00D53553">
        <w:rPr>
          <w:rFonts w:ascii="Times New Roman" w:eastAsia="Times New Roman" w:hAnsi="Times New Roman" w:cs="Times New Roman"/>
          <w:sz w:val="24"/>
          <w:szCs w:val="24"/>
        </w:rPr>
        <w:t xml:space="preserve"> Nominal GDP nearly doubles over the period, growing from </w:t>
      </w:r>
      <w:r w:rsidRPr="00D53553">
        <w:rPr>
          <w:rFonts w:ascii="Times New Roman" w:eastAsia="Times New Roman" w:hAnsi="Times New Roman" w:cs="Times New Roman"/>
          <w:b/>
          <w:bCs/>
          <w:sz w:val="24"/>
          <w:szCs w:val="24"/>
        </w:rPr>
        <w:t>$17.7B USD</w:t>
      </w:r>
      <w:r w:rsidRPr="00D53553">
        <w:rPr>
          <w:rFonts w:ascii="Times New Roman" w:eastAsia="Times New Roman" w:hAnsi="Times New Roman" w:cs="Times New Roman"/>
          <w:sz w:val="24"/>
          <w:szCs w:val="24"/>
        </w:rPr>
        <w:t xml:space="preserve"> in 2021 to </w:t>
      </w:r>
      <w:r w:rsidRPr="00D53553">
        <w:rPr>
          <w:rFonts w:ascii="Times New Roman" w:eastAsia="Times New Roman" w:hAnsi="Times New Roman" w:cs="Times New Roman"/>
          <w:b/>
          <w:bCs/>
          <w:sz w:val="24"/>
          <w:szCs w:val="24"/>
        </w:rPr>
        <w:t>$30.2B USD</w:t>
      </w:r>
      <w:r w:rsidRPr="00D53553">
        <w:rPr>
          <w:rFonts w:ascii="Times New Roman" w:eastAsia="Times New Roman" w:hAnsi="Times New Roman" w:cs="Times New Roman"/>
          <w:sz w:val="24"/>
          <w:szCs w:val="24"/>
        </w:rPr>
        <w:t xml:space="preserve"> by 2029.</w:t>
      </w:r>
    </w:p>
    <w:p w:rsidR="00014DCE" w:rsidRPr="00D53553" w:rsidRDefault="00014DCE" w:rsidP="00D53553">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D53553">
        <w:rPr>
          <w:rFonts w:ascii="Times New Roman" w:eastAsia="Times New Roman" w:hAnsi="Times New Roman" w:cs="Times New Roman"/>
          <w:b/>
          <w:bCs/>
          <w:sz w:val="24"/>
          <w:szCs w:val="24"/>
        </w:rPr>
        <w:t>Demographic Growth:</w:t>
      </w:r>
      <w:r w:rsidRPr="00D53553">
        <w:rPr>
          <w:rFonts w:ascii="Times New Roman" w:eastAsia="Times New Roman" w:hAnsi="Times New Roman" w:cs="Times New Roman"/>
          <w:sz w:val="24"/>
          <w:szCs w:val="24"/>
        </w:rPr>
        <w:t xml:space="preserve"> Total population expands linearly from </w:t>
      </w:r>
      <w:r w:rsidRPr="00D53553">
        <w:rPr>
          <w:rFonts w:ascii="Times New Roman" w:eastAsia="Times New Roman" w:hAnsi="Times New Roman" w:cs="Times New Roman"/>
          <w:b/>
          <w:bCs/>
          <w:sz w:val="24"/>
          <w:szCs w:val="24"/>
        </w:rPr>
        <w:t>12.9 million</w:t>
      </w:r>
      <w:r w:rsidRPr="00D53553">
        <w:rPr>
          <w:rFonts w:ascii="Times New Roman" w:eastAsia="Times New Roman" w:hAnsi="Times New Roman" w:cs="Times New Roman"/>
          <w:sz w:val="24"/>
          <w:szCs w:val="24"/>
        </w:rPr>
        <w:t xml:space="preserve"> (2021) to </w:t>
      </w:r>
      <w:r w:rsidRPr="00D53553">
        <w:rPr>
          <w:rFonts w:ascii="Times New Roman" w:eastAsia="Times New Roman" w:hAnsi="Times New Roman" w:cs="Times New Roman"/>
          <w:b/>
          <w:bCs/>
          <w:sz w:val="24"/>
          <w:szCs w:val="24"/>
        </w:rPr>
        <w:t>16.1 million</w:t>
      </w:r>
      <w:r w:rsidRPr="00D53553">
        <w:rPr>
          <w:rFonts w:ascii="Times New Roman" w:eastAsia="Times New Roman" w:hAnsi="Times New Roman" w:cs="Times New Roman"/>
          <w:sz w:val="24"/>
          <w:szCs w:val="24"/>
        </w:rPr>
        <w:t xml:space="preserve"> (2029).</w:t>
      </w:r>
    </w:p>
    <w:p w:rsidR="00DC557D" w:rsidRDefault="00DC557D" w:rsidP="00DC557D">
      <w:pPr>
        <w:spacing w:before="100" w:beforeAutospacing="1" w:after="100" w:afterAutospacing="1" w:line="240" w:lineRule="auto"/>
        <w:outlineLvl w:val="1"/>
        <w:rPr>
          <w:rFonts w:ascii="Times New Roman" w:hAnsi="Times New Roman" w:cs="Times New Roman"/>
          <w:b/>
          <w:color w:val="365F91" w:themeColor="accent1" w:themeShade="BF"/>
          <w:sz w:val="24"/>
          <w:szCs w:val="24"/>
        </w:rPr>
      </w:pPr>
    </w:p>
    <w:p w:rsidR="00DC557D" w:rsidRDefault="00DC557D" w:rsidP="00DC557D">
      <w:pPr>
        <w:spacing w:before="100" w:beforeAutospacing="1" w:after="100" w:afterAutospacing="1" w:line="240" w:lineRule="auto"/>
        <w:outlineLvl w:val="1"/>
        <w:rPr>
          <w:rFonts w:ascii="Times New Roman" w:hAnsi="Times New Roman" w:cs="Times New Roman"/>
          <w:b/>
          <w:color w:val="365F91" w:themeColor="accent1" w:themeShade="BF"/>
          <w:sz w:val="24"/>
          <w:szCs w:val="24"/>
        </w:rPr>
      </w:pPr>
    </w:p>
    <w:p w:rsidR="00DE4175" w:rsidRDefault="00DE4175" w:rsidP="001B0DDC">
      <w:pPr>
        <w:spacing w:before="100" w:beforeAutospacing="1" w:after="100" w:afterAutospacing="1" w:line="240" w:lineRule="auto"/>
        <w:outlineLvl w:val="1"/>
        <w:rPr>
          <w:rFonts w:ascii="Times New Roman" w:hAnsi="Times New Roman" w:cs="Times New Roman"/>
          <w:b/>
          <w:color w:val="365F91" w:themeColor="accent1" w:themeShade="BF"/>
          <w:sz w:val="24"/>
          <w:szCs w:val="24"/>
        </w:rPr>
      </w:pPr>
    </w:p>
    <w:p w:rsidR="009E4AB8" w:rsidRPr="00990936" w:rsidRDefault="00C56420" w:rsidP="001B0DDC">
      <w:pPr>
        <w:spacing w:before="100" w:beforeAutospacing="1" w:after="100" w:afterAutospacing="1" w:line="240" w:lineRule="auto"/>
        <w:outlineLvl w:val="1"/>
        <w:rPr>
          <w:rFonts w:ascii="Times New Roman" w:hAnsi="Times New Roman" w:cs="Times New Roman"/>
          <w:b/>
          <w:color w:val="00B050"/>
          <w:sz w:val="24"/>
          <w:szCs w:val="24"/>
        </w:rPr>
      </w:pPr>
      <w:r w:rsidRPr="00990936">
        <w:rPr>
          <w:rFonts w:ascii="Times New Roman" w:hAnsi="Times New Roman" w:cs="Times New Roman"/>
          <w:b/>
          <w:color w:val="00B050"/>
          <w:sz w:val="24"/>
          <w:szCs w:val="24"/>
        </w:rPr>
        <w:t>F</w:t>
      </w:r>
      <w:r w:rsidR="009E4AB8" w:rsidRPr="00990936">
        <w:rPr>
          <w:rFonts w:ascii="Times New Roman" w:hAnsi="Times New Roman" w:cs="Times New Roman"/>
          <w:b/>
          <w:color w:val="00B050"/>
          <w:sz w:val="24"/>
          <w:szCs w:val="24"/>
        </w:rPr>
        <w:t>OREIGN TRADE</w:t>
      </w:r>
    </w:p>
    <w:p w:rsidR="00A25B73" w:rsidRPr="001E01E7" w:rsidRDefault="005E5556" w:rsidP="00D14EDE">
      <w:pPr>
        <w:pStyle w:val="isselectedend"/>
        <w:jc w:val="both"/>
      </w:pPr>
      <w:r w:rsidRPr="001E01E7">
        <w:t xml:space="preserve">3.   </w:t>
      </w:r>
      <w:r w:rsidR="00151209" w:rsidRPr="001E01E7">
        <w:tab/>
      </w:r>
      <w:r w:rsidR="00A25B73" w:rsidRPr="001E01E7">
        <w:t>As per the latest available data from the World Integrated Trade Solution (WITS), BENIN's merchandise trade structure reflects a relatively concentrated export base, with its major export destinations being Bangladesh, India, Pakistan, Togo, and China. The geographical distribution of BENIN's exports indicates the importance of both Asian and regional African markets in absorbing the country's principal export products. Bangladesh, India, and Pakistan represent important destinations in South Asia, particularly for BENIN's agricultural and agro-based commodities, while Togo reflects the significance of intra-regional trade within West Africa. China also constitutes an important destination, highlighting BENIN's commercial linkages with one of the world's largest manufacturing and commodity-importing economies. The presence of both Asian and neighbouring African destinations among BENIN's principal export markets suggests that the country has developed a diversified geographical network for its merchandise exports, although its export earnings remain significantly dependent on a limited number of primary and semi-processed commodities.</w:t>
      </w:r>
    </w:p>
    <w:p w:rsidR="00A25B73" w:rsidRPr="001E01E7" w:rsidRDefault="00A25B73" w:rsidP="00D14EDE">
      <w:pPr>
        <w:pStyle w:val="isselectedend"/>
        <w:ind w:firstLine="720"/>
        <w:jc w:val="both"/>
      </w:pPr>
      <w:r w:rsidRPr="001E01E7">
        <w:lastRenderedPageBreak/>
        <w:t>On the import side, BENIN's five principal import partners are India, China, France, the United States, and Nigeria. The composition of BENIN's major import partners reflects a combination of Asian manufacturing economies, advanced Western economies, and regional African suppliers. India and China are particularly important sources of manufactured goods, machinery, petroleum-related products, pharmaceuticals, food products, and other consumer and intermediate goods. France continues to have an important position in BENIN's external trade owing to longstanding commercial, investment, logistical, and institutional linkages. The United States also represents a significant trading partner, while Nigeria's inclusion among the major import sources highlights the importance of regional trade and BENIN's close economic relationship with the largest economy in West Africa. The geographical pattern of imports therefore demonstrates BENIN's dependence on both international and regional suppliers to meet domestic requirements for food, energy, medicines, manufactured products, and other essential goods.</w:t>
      </w:r>
    </w:p>
    <w:p w:rsidR="00A25B73" w:rsidRPr="001E01E7" w:rsidRDefault="00A25B73" w:rsidP="00D14EDE">
      <w:pPr>
        <w:pStyle w:val="isselectedend"/>
        <w:ind w:firstLine="720"/>
        <w:jc w:val="both"/>
      </w:pPr>
      <w:r w:rsidRPr="001E01E7">
        <w:t xml:space="preserve">BENIN's export commodity structure is strongly influenced by agricultural and agro-based products. The country's five leading export commodities are: (i) Cotton, not carded or combed </w:t>
      </w:r>
      <w:r w:rsidRPr="001E01E7">
        <w:rPr>
          <w:rStyle w:val="text-token-text-primary"/>
          <w:rFonts w:eastAsiaTheme="majorEastAsia"/>
        </w:rPr>
        <w:t>[520100]</w:t>
      </w:r>
      <w:r w:rsidRPr="001E01E7">
        <w:t xml:space="preserve">; (ii) Cashew nuts, fresh or dried </w:t>
      </w:r>
      <w:r w:rsidRPr="001E01E7">
        <w:rPr>
          <w:rStyle w:val="text-token-text-primary"/>
          <w:rFonts w:eastAsiaTheme="majorEastAsia"/>
        </w:rPr>
        <w:t>[080130]</w:t>
      </w:r>
      <w:r w:rsidRPr="001E01E7">
        <w:t xml:space="preserve">; (iii) Soya beans </w:t>
      </w:r>
      <w:r w:rsidRPr="001E01E7">
        <w:rPr>
          <w:rStyle w:val="text-token-text-primary"/>
          <w:rFonts w:eastAsiaTheme="majorEastAsia"/>
        </w:rPr>
        <w:t>[120100]</w:t>
      </w:r>
      <w:r w:rsidRPr="001E01E7">
        <w:t xml:space="preserve">; (iv) Petroleum oils, etc. (excluding crude); preparations </w:t>
      </w:r>
      <w:r w:rsidRPr="001E01E7">
        <w:rPr>
          <w:rStyle w:val="text-token-text-primary"/>
          <w:rFonts w:eastAsiaTheme="majorEastAsia"/>
        </w:rPr>
        <w:t>[271000]</w:t>
      </w:r>
      <w:r w:rsidRPr="001E01E7">
        <w:t xml:space="preserve">; and (v) Oil-cake and other solid residues, of soya-bean </w:t>
      </w:r>
      <w:r w:rsidRPr="001E01E7">
        <w:rPr>
          <w:rStyle w:val="text-token-text-primary"/>
          <w:rFonts w:eastAsiaTheme="majorEastAsia"/>
        </w:rPr>
        <w:t>[230400]</w:t>
      </w:r>
      <w:r w:rsidRPr="001E01E7">
        <w:t>. The prominence of these commodities demonstrates the continued importance of agriculture and agricultural value chains in BENIN's merchandise export performance. In particular, cotton occupies a central position in the country's export basket and is an important source of foreign-exchange earnings. The dominance of raw or minimally processed agricultural commodities, however, also indicates that BENIN's export performance remains exposed to fluctuations in international commodity prices, climatic conditions, agricultural productivity, and changes in external demand.</w:t>
      </w:r>
    </w:p>
    <w:p w:rsidR="00A25B73" w:rsidRPr="001E01E7" w:rsidRDefault="00A25B73" w:rsidP="00D14EDE">
      <w:pPr>
        <w:pStyle w:val="isselectedend"/>
        <w:ind w:firstLine="720"/>
        <w:jc w:val="both"/>
      </w:pPr>
      <w:r w:rsidRPr="001E01E7">
        <w:t xml:space="preserve">Cotton, not carded or combed </w:t>
      </w:r>
      <w:r w:rsidRPr="001E01E7">
        <w:rPr>
          <w:rStyle w:val="text-token-text-primary"/>
          <w:rFonts w:eastAsiaTheme="majorEastAsia"/>
        </w:rPr>
        <w:t>[520100]</w:t>
      </w:r>
      <w:r w:rsidRPr="001E01E7">
        <w:t>, is the leading export commodity in BENIN's merchandise export basket. The importance of cotton reflects the country's established cotton-producing base and the role of the cotton sector in supporting rural incomes, employment, foreign-exchange generation, and downstream economic activities. Cotton exports also provide BENIN with access to major international textile and fibre markets. However, the predominance of raw cotton in the export basket indicates scope for greater domestic value addition through ginning, spinning, weaving, textile manufacturing, garment production, and other downstream activities. Development of such value chains could enable BENIN to retain a larger share of the value generated from its cotton production and reduce dependence on exports of relatively unprocessed agricultural commodities.</w:t>
      </w:r>
    </w:p>
    <w:p w:rsidR="00A25B73" w:rsidRPr="001E01E7" w:rsidRDefault="00A25B73" w:rsidP="00D14EDE">
      <w:pPr>
        <w:pStyle w:val="isselectedend"/>
        <w:ind w:firstLine="720"/>
        <w:jc w:val="both"/>
      </w:pPr>
      <w:r w:rsidRPr="001E01E7">
        <w:t xml:space="preserve">Cashew nuts, fresh or dried </w:t>
      </w:r>
      <w:r w:rsidRPr="001E01E7">
        <w:rPr>
          <w:rStyle w:val="text-token-text-primary"/>
          <w:rFonts w:eastAsiaTheme="majorEastAsia"/>
        </w:rPr>
        <w:t>[080130]</w:t>
      </w:r>
      <w:r w:rsidRPr="001E01E7">
        <w:t>, constitute another important component of BENIN's export basket. The significance of cashew exports demonstrates the country's potential in high-value agricultural commodities and agro-processing. Cashew production contributes to rural employment and provides income opportunities for farming communities. International demand for cashew nuts provides BENIN with opportunities to expand agricultural exports and diversify beyond cotton. Nevertheless, the export of largely raw or minimally processed cashew nuts may limit the amount of value retained within the domestic economy. Greater investment in processing, packaging, grading, roasting, and other value-added activities could strengthen the country's position in international cashew value chains and generate additional employment and export earnings.</w:t>
      </w:r>
    </w:p>
    <w:p w:rsidR="00A25B73" w:rsidRPr="001E01E7" w:rsidRDefault="00A25B73" w:rsidP="00D14EDE">
      <w:pPr>
        <w:pStyle w:val="isselectedend"/>
        <w:ind w:firstLine="720"/>
        <w:jc w:val="both"/>
      </w:pPr>
      <w:r w:rsidRPr="001E01E7">
        <w:t xml:space="preserve">Soya beans </w:t>
      </w:r>
      <w:r w:rsidRPr="001E01E7">
        <w:rPr>
          <w:rStyle w:val="text-token-text-primary"/>
          <w:rFonts w:eastAsiaTheme="majorEastAsia"/>
        </w:rPr>
        <w:t>[120100]</w:t>
      </w:r>
      <w:r w:rsidRPr="001E01E7">
        <w:t xml:space="preserve"> are also among BENIN's leading export commodities, reflecting the growing importance of oilseed and agricultural production in the country's external trade. Soya beans have multiple applications in food processing, animal feed, vegetable oil production, and industrial activities. Their presence among the leading exports indicates that agricultural diversification is taking place beyond traditional export commodities such as cotton. At the same time, the export of soya beans in relatively unprocessed form suggests potential for further development of domestic processing industries. Increased production of soya-based oil, animal feed, and other processed products could enhance domestic value addition and contribute to the diversification of BENIN's industrial and agricultural export base.</w:t>
      </w:r>
    </w:p>
    <w:p w:rsidR="00DE4175" w:rsidRDefault="00DE4175" w:rsidP="00D14EDE">
      <w:pPr>
        <w:pStyle w:val="isselectedend"/>
        <w:ind w:firstLine="720"/>
        <w:jc w:val="both"/>
      </w:pPr>
    </w:p>
    <w:p w:rsidR="00A25B73" w:rsidRPr="001E01E7" w:rsidRDefault="00A25B73" w:rsidP="00D14EDE">
      <w:pPr>
        <w:pStyle w:val="isselectedend"/>
        <w:ind w:firstLine="720"/>
        <w:jc w:val="both"/>
      </w:pPr>
      <w:r w:rsidRPr="001E01E7">
        <w:lastRenderedPageBreak/>
        <w:t xml:space="preserve">Petroleum oils, etc. (excluding crude); preparations </w:t>
      </w:r>
      <w:r w:rsidRPr="001E01E7">
        <w:rPr>
          <w:rStyle w:val="text-token-text-primary"/>
          <w:rFonts w:eastAsiaTheme="majorEastAsia"/>
        </w:rPr>
        <w:t>[271000]</w:t>
      </w:r>
      <w:r w:rsidRPr="001E01E7">
        <w:t>, are another significant export commodity. The presence of petroleum products in BENIN's leading export commodities indicates the importance of energy-related trade and petroleum-product distribution in the country's merchandise trade. Unlike agricultural commodities, petroleum-related products are closely linked to international energy prices and regional demand. Consequently, changes in global crude oil prices, refining margins, transportation costs, and regional fuel demand can influence the value of these exports. The importance of petroleum products also demonstrates BENIN's role in regional trade and distribution networks, particularly within the West African market.</w:t>
      </w:r>
    </w:p>
    <w:p w:rsidR="00A25B73" w:rsidRPr="001E01E7" w:rsidRDefault="00A25B73" w:rsidP="00D14EDE">
      <w:pPr>
        <w:pStyle w:val="isselectedend"/>
        <w:ind w:firstLine="720"/>
        <w:jc w:val="both"/>
      </w:pPr>
      <w:r w:rsidRPr="001E01E7">
        <w:t xml:space="preserve">Oil-cake and other solid residues of soya-bean </w:t>
      </w:r>
      <w:r w:rsidRPr="001E01E7">
        <w:rPr>
          <w:rStyle w:val="text-token-text-primary"/>
          <w:rFonts w:eastAsiaTheme="majorEastAsia"/>
        </w:rPr>
        <w:t>[230400]</w:t>
      </w:r>
      <w:r w:rsidRPr="001E01E7">
        <w:t xml:space="preserve"> constitute the fifth major export commodity. This product is closely connected with the agricultural and agro-processing value chain, particularly the processing of soya beans. Oil-cake is widely used as an animal-feed input, meaning that its presence in BENIN's export basket indicates linkages between crop production, processing, and livestock-related activities. The export of such residues also demonstrates the potential for agricultural processing to generate additional commercial products from primary agricultural commodities. Strengthening agro-processing capacity could therefore support the development of a more integrated agricultural value chain and reduce wastage of agricultural outputs.</w:t>
      </w:r>
    </w:p>
    <w:p w:rsidR="00A25B73" w:rsidRPr="001E01E7" w:rsidRDefault="00A25B73" w:rsidP="00D14EDE">
      <w:pPr>
        <w:pStyle w:val="isselectedend"/>
        <w:ind w:firstLine="720"/>
        <w:jc w:val="both"/>
      </w:pPr>
      <w:r w:rsidRPr="001E01E7">
        <w:t>Taken together, BENIN's leading export commodities reveal a merchandise export structure that is predominantly agricultural and commodity-oriented. Cotton, cashew nuts, and soya beans account for important positions in the export basket, while petroleum preparations and soya-bean residues provide additional diversification. This commodity structure gives BENIN a strong comparative advantage in selected agricultural products but simultaneously exposes the country to risks associated with international commodity-price volatility, weather conditions, agricultural productivity, transport costs, and changes in global demand. A broader export base, particularly through value-added agricultural and manufactured products, would help reduce these vulnerabilities.</w:t>
      </w:r>
    </w:p>
    <w:p w:rsidR="00A25B73" w:rsidRPr="001E01E7" w:rsidRDefault="00A25B73" w:rsidP="00D14EDE">
      <w:pPr>
        <w:pStyle w:val="isselectedend"/>
        <w:ind w:firstLine="720"/>
        <w:jc w:val="both"/>
      </w:pPr>
      <w:r w:rsidRPr="001E01E7">
        <w:t xml:space="preserve">On the import side, BENIN's five major imported commodities are: (i) Semi-milled or wholly milled rice </w:t>
      </w:r>
      <w:r w:rsidRPr="001E01E7">
        <w:rPr>
          <w:rStyle w:val="text-token-text-primary"/>
          <w:rFonts w:eastAsiaTheme="majorEastAsia"/>
        </w:rPr>
        <w:t>[100630]</w:t>
      </w:r>
      <w:r w:rsidRPr="001E01E7">
        <w:t xml:space="preserve">; (ii) Petroleum oils, etc. (excluding crude); preparations </w:t>
      </w:r>
      <w:r w:rsidRPr="001E01E7">
        <w:rPr>
          <w:rStyle w:val="text-token-text-primary"/>
          <w:rFonts w:eastAsiaTheme="majorEastAsia"/>
        </w:rPr>
        <w:t>[271000]</w:t>
      </w:r>
      <w:r w:rsidRPr="001E01E7">
        <w:t xml:space="preserve">; (iii) Palm oil (excluding crude) and its liquid fractions </w:t>
      </w:r>
      <w:r w:rsidRPr="001E01E7">
        <w:rPr>
          <w:rStyle w:val="text-token-text-primary"/>
          <w:rFonts w:eastAsiaTheme="majorEastAsia"/>
        </w:rPr>
        <w:t>[151190]</w:t>
      </w:r>
      <w:r w:rsidRPr="001E01E7">
        <w:t xml:space="preserve">; (iv) Electrical energy </w:t>
      </w:r>
      <w:r w:rsidRPr="001E01E7">
        <w:rPr>
          <w:rStyle w:val="text-token-text-primary"/>
          <w:rFonts w:eastAsiaTheme="majorEastAsia"/>
        </w:rPr>
        <w:t>[271600]</w:t>
      </w:r>
      <w:r w:rsidRPr="001E01E7">
        <w:t xml:space="preserve">; and (v) Other medicaments of mixed or unmixed products </w:t>
      </w:r>
      <w:r w:rsidRPr="001E01E7">
        <w:rPr>
          <w:rStyle w:val="text-token-text-primary"/>
          <w:rFonts w:eastAsiaTheme="majorEastAsia"/>
        </w:rPr>
        <w:t>[300490]</w:t>
      </w:r>
      <w:r w:rsidRPr="001E01E7">
        <w:t>. The composition of these imports provides important insights into BENIN's domestic consumption requirements, energy needs, food-security situation, industrial requirements, and healthcare demand. In particular, the presence of rice and palm oil among the leading imports demonstrates the importance of food-related imports, while petroleum products and electrical energy highlight the country's energy requirements. Pharmaceuticals further demonstrate the dependence on external sources for essential healthcare products.</w:t>
      </w:r>
    </w:p>
    <w:p w:rsidR="00A25B73" w:rsidRPr="001E01E7" w:rsidRDefault="00A25B73" w:rsidP="00D14EDE">
      <w:pPr>
        <w:pStyle w:val="isselectedend"/>
        <w:ind w:firstLine="720"/>
        <w:jc w:val="both"/>
      </w:pPr>
      <w:r w:rsidRPr="001E01E7">
        <w:t xml:space="preserve">Semi-milled or wholly milled rice </w:t>
      </w:r>
      <w:r w:rsidRPr="001E01E7">
        <w:rPr>
          <w:rStyle w:val="text-token-text-primary"/>
          <w:rFonts w:eastAsiaTheme="majorEastAsia"/>
        </w:rPr>
        <w:t>[100630]</w:t>
      </w:r>
      <w:r w:rsidRPr="001E01E7">
        <w:t xml:space="preserve"> is the leading imported commodity, highlighting the importance of rice in BENIN's domestic food consumption. The significant importation of rice suggests that domestic production may not be sufficient to meet national consumption requirements, particularly considering population growth, urbanisation, changing dietary preferences, and increasing demand in urban markets. Rice imports therefore play an important role in ensuring domestic food availability. At the same time, the substantial dependence on imported rice indicates an opportunity for agricultural development through increased domestic production, improved irrigation, better seeds, enhanced farm productivity, improved storage facilities, and stronger post-harvest management. Greater domestic rice production could potentially reduce import dependence and strengthen food security.</w:t>
      </w:r>
    </w:p>
    <w:p w:rsidR="00A25B73" w:rsidRPr="001E01E7" w:rsidRDefault="00A25B73" w:rsidP="00D14EDE">
      <w:pPr>
        <w:pStyle w:val="isselectedend"/>
        <w:ind w:firstLine="720"/>
        <w:jc w:val="both"/>
      </w:pPr>
      <w:r w:rsidRPr="001E01E7">
        <w:t xml:space="preserve">Petroleum oils, etc. (excluding crude); preparations </w:t>
      </w:r>
      <w:r w:rsidRPr="001E01E7">
        <w:rPr>
          <w:rStyle w:val="text-token-text-primary"/>
          <w:rFonts w:eastAsiaTheme="majorEastAsia"/>
        </w:rPr>
        <w:t>[271000]</w:t>
      </w:r>
      <w:r w:rsidRPr="001E01E7">
        <w:t xml:space="preserve"> are also among BENIN's major imports. The importance of petroleum products on the import side indicates substantial domestic demand for fuels for transportation, electricity generation, commercial activities, industrial operations, and household consumption. Petroleum imports are strongly influenced by international energy prices and exchange-rate movements. Therefore, fluctuations in global oil prices can have a direct impact on BENIN's import bill and overall trade balance. The simultaneous presence of petroleum products among the country's major exports and imports suggests the importance of petroleum-product trading and regional distribution within BENIN's merchandise trade structure.</w:t>
      </w:r>
    </w:p>
    <w:p w:rsidR="00A25B73" w:rsidRPr="001E01E7" w:rsidRDefault="00A25B73" w:rsidP="00D14EDE">
      <w:pPr>
        <w:pStyle w:val="isselectedend"/>
        <w:ind w:firstLine="720"/>
        <w:jc w:val="both"/>
      </w:pPr>
      <w:r w:rsidRPr="001E01E7">
        <w:lastRenderedPageBreak/>
        <w:t xml:space="preserve">Palm oil (excluding crude) and its liquid fractions </w:t>
      </w:r>
      <w:r w:rsidRPr="001E01E7">
        <w:rPr>
          <w:rStyle w:val="text-token-text-primary"/>
          <w:rFonts w:eastAsiaTheme="majorEastAsia"/>
        </w:rPr>
        <w:t>[151190]</w:t>
      </w:r>
      <w:r w:rsidRPr="001E01E7">
        <w:t xml:space="preserve"> constitute another major import commodity. Palm oil is widely used in food processing, household consumption, restaurants, manufacturing, and various industrial applications. The importance of palm-oil imports indicates significant domestic demand and suggests that domestic production and processing may not fully satisfy market requirements for refined or semi-processed palm-oil products. Strengthening domestic oil-palm cultivation and processing capacity could provide opportunities for import substitution, agricultural employment, and greater domestic value addition.</w:t>
      </w:r>
    </w:p>
    <w:p w:rsidR="00A25B73" w:rsidRPr="001E01E7" w:rsidRDefault="00A25B73" w:rsidP="00D14EDE">
      <w:pPr>
        <w:pStyle w:val="isselectedend"/>
        <w:ind w:firstLine="720"/>
        <w:jc w:val="both"/>
      </w:pPr>
      <w:r w:rsidRPr="001E01E7">
        <w:t xml:space="preserve">Electrical energy </w:t>
      </w:r>
      <w:r w:rsidRPr="001E01E7">
        <w:rPr>
          <w:rStyle w:val="text-token-text-primary"/>
          <w:rFonts w:eastAsiaTheme="majorEastAsia"/>
        </w:rPr>
        <w:t>[271600]</w:t>
      </w:r>
      <w:r w:rsidRPr="001E01E7">
        <w:t xml:space="preserve"> is also among BENIN's principal imported commodities. Its inclusion highlights the importance of cross-border electricity trade in meeting the country's energy requirements. Reliable electricity supply is essential for economic development because it supports manufacturing, services, agriculture, telecommunications, commercial activities, public institutions, and households. Dependence on imported electricity also indicates the importance of regional power-pooling arrangements and cross-border energy infrastructure for BENIN's economic performance. Improvements in domestic generation capacity, renewable-energy development, transmission infrastructure, and energy efficiency could strengthen energy security over the longer term.</w:t>
      </w:r>
    </w:p>
    <w:p w:rsidR="00A25B73" w:rsidRPr="001E01E7" w:rsidRDefault="00A25B73" w:rsidP="00D14EDE">
      <w:pPr>
        <w:pStyle w:val="isselectedend"/>
        <w:ind w:firstLine="720"/>
        <w:jc w:val="both"/>
      </w:pPr>
      <w:r w:rsidRPr="001E01E7">
        <w:t xml:space="preserve">Other medicaments of mixed or unmixed products </w:t>
      </w:r>
      <w:r w:rsidRPr="001E01E7">
        <w:rPr>
          <w:rStyle w:val="text-token-text-primary"/>
          <w:rFonts w:eastAsiaTheme="majorEastAsia"/>
        </w:rPr>
        <w:t>[300490]</w:t>
      </w:r>
      <w:r w:rsidRPr="001E01E7">
        <w:t xml:space="preserve"> constitute the fifth major imported commodity. The importance of pharmaceutical imports reflects sustained domestic demand for medicines and healthcare products. Pharmaceutical imports are essential for meeting healthcare requirements where domestic manufacturing capacity may be limited. However, continued dependence on imported medicines also highlights the potential benefits of strengthening domestic pharmaceutical production, quality-control systems, distribution networks, and health-sector manufacturing capabilities. Development of a stronger domestic pharmaceutical industry could contribute not only to import substitution but also to regional exports and improved resilience of the healthcare supply chain.</w:t>
      </w:r>
    </w:p>
    <w:p w:rsidR="00A25B73" w:rsidRPr="001E01E7" w:rsidRDefault="00A25B73" w:rsidP="00D14EDE">
      <w:pPr>
        <w:pStyle w:val="isselectedend"/>
        <w:ind w:firstLine="720"/>
        <w:jc w:val="both"/>
      </w:pPr>
      <w:r w:rsidRPr="001E01E7">
        <w:t>The comparison between BENIN's export and import commodity structures reveals a significant difference in the nature of the country's external trade. Exports are concentrated primarily in agricultural and primary or semi-processed commodities, whereas imports consist largely of food products, energy products, electricity, and manufactured pharmaceutical goods. This structure is characteristic of an economy where agriculture and natural-resource-related products provide important export earnings while domestic consumption and production requirements generate substantial demand for imported goods. Such a pattern creates both opportunities and vulnerabilities for BENIN's trade performance.</w:t>
      </w:r>
    </w:p>
    <w:p w:rsidR="00A25B73" w:rsidRPr="001E01E7" w:rsidRDefault="00A25B73" w:rsidP="00D14EDE">
      <w:pPr>
        <w:pStyle w:val="isselectedend"/>
        <w:ind w:firstLine="720"/>
        <w:jc w:val="both"/>
      </w:pPr>
      <w:r w:rsidRPr="001E01E7">
        <w:t>From a trade-diversification perspective, BENIN has considerable potential to move from the export of primary commodities towards higher-value products. Cotton could be linked to textile and garment manufacturing; cashew production could be connected with processing and packaging; soya beans could support vegetable-oil and animal-feed industries; and agricultural residues could be utilised in further agro-processing activities. Such diversification would increase the domestic value captured from exports, create employment, improve industrial capabilities, and potentially strengthen the resilience of export earnings.</w:t>
      </w:r>
    </w:p>
    <w:p w:rsidR="00A25B73" w:rsidRPr="001E01E7" w:rsidRDefault="00A25B73" w:rsidP="00D14EDE">
      <w:pPr>
        <w:pStyle w:val="isselectedend"/>
        <w:ind w:firstLine="720"/>
        <w:jc w:val="both"/>
      </w:pPr>
      <w:r w:rsidRPr="001E01E7">
        <w:t>The geographical composition of BENIN's trade partners also has important strategic implications. The presence of Bangladesh, India, Pakistan, and China among the major export destinations demonstrates the significance of Asian markets for BENIN's agricultural commodities. At the same time, the presence of Togo as a major export destination reflects the importance of regional West African trade. On the import side, India and China occupy prominent positions alongside France, the United States, and Nigeria, indicating that BENIN sources goods from a wide range of international and regional markets. This geographic distribution provides BENIN with opportunities to diversify trading relationships and reduce excessive dependence on any single market.</w:t>
      </w:r>
    </w:p>
    <w:p w:rsidR="00DE4175" w:rsidRDefault="00DE4175" w:rsidP="00D14EDE">
      <w:pPr>
        <w:pStyle w:val="isselectedend"/>
        <w:ind w:firstLine="720"/>
        <w:jc w:val="both"/>
      </w:pPr>
    </w:p>
    <w:p w:rsidR="00A25B73" w:rsidRPr="001E01E7" w:rsidRDefault="00A25B73" w:rsidP="00D14EDE">
      <w:pPr>
        <w:pStyle w:val="isselectedend"/>
        <w:ind w:firstLine="720"/>
        <w:jc w:val="both"/>
      </w:pPr>
      <w:r w:rsidRPr="001E01E7">
        <w:lastRenderedPageBreak/>
        <w:t>The prominence of Nigeria as a major import partner is particularly relevant from a regional perspective. BENIN and Nigeria are neighbouring economies with strong commercial linkages, and their proximity provides advantages in terms of transportation, distribution, and regional supply chains. Similarly, Togo's position among BENIN's major export destinations highlights the importance of regional trade within West Africa. Strengthening regional transport corridors, customs procedures, trade facilitation, and logistics infrastructure could further enhance BENIN's participation in regional value chains.</w:t>
      </w:r>
    </w:p>
    <w:p w:rsidR="00A25B73" w:rsidRPr="001E01E7" w:rsidRDefault="00A25B73" w:rsidP="00D14EDE">
      <w:pPr>
        <w:pStyle w:val="isselectedend"/>
        <w:ind w:firstLine="720"/>
        <w:jc w:val="both"/>
      </w:pPr>
      <w:r w:rsidRPr="001E01E7">
        <w:t>India's position as both a major export destination and the leading import partner is also significant. This indicates a two-way trade relationship in which BENIN exports selected commodities to India while importing a broad range of products from the Indian market. Such a relationship can potentially be expanded through greater trade diversification, investment cooperation, technology transfer, agro-processing partnerships, pharmaceuticals, machinery, and other value-added sectors. The presence of India among BENIN's principal trading partners therefore provides scope for strengthening bilateral commercial relations.</w:t>
      </w:r>
    </w:p>
    <w:p w:rsidR="00A25B73" w:rsidRPr="001E01E7" w:rsidRDefault="00A25B73" w:rsidP="00D14EDE">
      <w:pPr>
        <w:pStyle w:val="isselectedend"/>
        <w:ind w:firstLine="720"/>
        <w:jc w:val="both"/>
      </w:pPr>
      <w:r w:rsidRPr="001E01E7">
        <w:t>Overall, BENIN's current merchandise trade structure reflects a combination of strong agricultural export potential, substantial food and energy import requirements, growing regional integration, and extensive commercial linkages with Asian and Western economies. The country's leading exports—particularly cotton, cashew nuts, and soya beans—provide a foundation for export growth, while its leading imports—especially rice, petroleum products, palm oil, electricity, and medicines—reflect important domestic consumption and development requirements.</w:t>
      </w:r>
    </w:p>
    <w:p w:rsidR="00A25B73" w:rsidRPr="001E01E7" w:rsidRDefault="00A25B73" w:rsidP="00D14EDE">
      <w:pPr>
        <w:pStyle w:val="isselectedend"/>
        <w:ind w:firstLine="720"/>
        <w:jc w:val="both"/>
      </w:pPr>
      <w:r w:rsidRPr="001E01E7">
        <w:t>In the medium to long term, BENIN's trade-development strategy could focus on increasing agricultural productivity, expanding agro-processing, developing domestic manufacturing, strengthening energy security, improving transport and logistics infrastructure, and promoting export-market diversification. Greater processing of cotton, cashew, soya beans, and other agricultural commodities would allow BENIN to move higher up international value chains. At the same time, improvements in domestic production of food, energy, pharmaceuticals, and other essential goods could gradually reduce import dependence.</w:t>
      </w:r>
    </w:p>
    <w:p w:rsidR="00A25B73" w:rsidRPr="001E01E7" w:rsidRDefault="00A25B73" w:rsidP="00D14EDE">
      <w:pPr>
        <w:pStyle w:val="NormalWeb"/>
        <w:ind w:firstLine="720"/>
        <w:jc w:val="both"/>
      </w:pPr>
      <w:r w:rsidRPr="001E01E7">
        <w:t>Thus, the latest WITS trade data indicate that BENIN possesses significant opportunities to strengthen its external trade through agricultural modernisation, value addition, regional integration, industrial diversification, and broader engagement with international markets. However, the country's continued dependence on a relatively narrow range of primary exports and substantial imports of essential food, energy, and manufactured products remains an important structural challenge. Addressing these issues through export diversification, domestic value addition, improved productive capacity, and enhanced regional and international trade integration would be important for achieving more balanced, resilient, and sustainable merchandise trade growth.</w:t>
      </w:r>
    </w:p>
    <w:p w:rsidR="009E4AB8" w:rsidRPr="001E01E7" w:rsidRDefault="009E4AB8" w:rsidP="00151209">
      <w:pPr>
        <w:pStyle w:val="BodyText"/>
        <w:tabs>
          <w:tab w:val="left" w:pos="567"/>
        </w:tabs>
        <w:rPr>
          <w:szCs w:val="24"/>
        </w:rPr>
      </w:pPr>
      <w:r w:rsidRPr="001E01E7">
        <w:rPr>
          <w:bCs/>
          <w:szCs w:val="24"/>
        </w:rPr>
        <w:t>4.</w:t>
      </w:r>
      <w:r w:rsidRPr="001E01E7">
        <w:rPr>
          <w:b/>
          <w:bCs/>
          <w:szCs w:val="24"/>
        </w:rPr>
        <w:t xml:space="preserve">    </w:t>
      </w:r>
      <w:r w:rsidR="005240DC" w:rsidRPr="001E01E7">
        <w:rPr>
          <w:szCs w:val="24"/>
        </w:rPr>
        <w:t xml:space="preserve">BENIN's total merchandise exports showed an overall upward trend during the period </w:t>
      </w:r>
      <w:r w:rsidR="005240DC" w:rsidRPr="001E01E7">
        <w:rPr>
          <w:rStyle w:val="Strong"/>
          <w:szCs w:val="24"/>
        </w:rPr>
        <w:t>2020–2024</w:t>
      </w:r>
      <w:r w:rsidR="005240DC" w:rsidRPr="001E01E7">
        <w:rPr>
          <w:szCs w:val="24"/>
        </w:rPr>
        <w:t xml:space="preserve">, although the growth pattern remained uneven across the years. Merchandise exports increased from </w:t>
      </w:r>
      <w:r w:rsidR="005240DC" w:rsidRPr="001E01E7">
        <w:rPr>
          <w:rStyle w:val="Strong"/>
          <w:szCs w:val="24"/>
        </w:rPr>
        <w:t>US$ 846 million in 2020 to US$ 1,026 million in 2021</w:t>
      </w:r>
      <w:r w:rsidR="005240DC" w:rsidRPr="001E01E7">
        <w:rPr>
          <w:szCs w:val="24"/>
        </w:rPr>
        <w:t xml:space="preserve">, registering a strong annual growth of </w:t>
      </w:r>
      <w:r w:rsidR="005240DC" w:rsidRPr="001E01E7">
        <w:rPr>
          <w:rStyle w:val="Strong"/>
          <w:szCs w:val="24"/>
        </w:rPr>
        <w:t>21.28%</w:t>
      </w:r>
      <w:r w:rsidR="005240DC" w:rsidRPr="001E01E7">
        <w:rPr>
          <w:szCs w:val="24"/>
        </w:rPr>
        <w:t xml:space="preserve">. However, exports declined by </w:t>
      </w:r>
      <w:r w:rsidR="005240DC" w:rsidRPr="001E01E7">
        <w:rPr>
          <w:rStyle w:val="Strong"/>
          <w:szCs w:val="24"/>
        </w:rPr>
        <w:t>12.38% in 2022</w:t>
      </w:r>
      <w:r w:rsidR="005240DC" w:rsidRPr="001E01E7">
        <w:rPr>
          <w:szCs w:val="24"/>
        </w:rPr>
        <w:t xml:space="preserve">, falling to </w:t>
      </w:r>
      <w:r w:rsidR="005240DC" w:rsidRPr="001E01E7">
        <w:rPr>
          <w:rStyle w:val="Strong"/>
          <w:szCs w:val="24"/>
        </w:rPr>
        <w:t>US$ 899 million</w:t>
      </w:r>
      <w:r w:rsidR="005240DC" w:rsidRPr="001E01E7">
        <w:rPr>
          <w:szCs w:val="24"/>
        </w:rPr>
        <w:t xml:space="preserve">, indicating a temporary moderation in export performance. This was followed by a significant recovery in 2023, when exports increased by </w:t>
      </w:r>
      <w:r w:rsidR="005240DC" w:rsidRPr="001E01E7">
        <w:rPr>
          <w:rStyle w:val="Strong"/>
          <w:szCs w:val="24"/>
        </w:rPr>
        <w:t>17.02%</w:t>
      </w:r>
      <w:r w:rsidR="005240DC" w:rsidRPr="001E01E7">
        <w:rPr>
          <w:szCs w:val="24"/>
        </w:rPr>
        <w:t xml:space="preserve"> to </w:t>
      </w:r>
      <w:r w:rsidR="005240DC" w:rsidRPr="001E01E7">
        <w:rPr>
          <w:rStyle w:val="Strong"/>
          <w:szCs w:val="24"/>
        </w:rPr>
        <w:t>US$ 1,052 million</w:t>
      </w:r>
      <w:r w:rsidR="005240DC" w:rsidRPr="001E01E7">
        <w:rPr>
          <w:szCs w:val="24"/>
        </w:rPr>
        <w:t xml:space="preserve">. The positive trend continued in 2024, with exports rising further by </w:t>
      </w:r>
      <w:r w:rsidR="005240DC" w:rsidRPr="001E01E7">
        <w:rPr>
          <w:rStyle w:val="Strong"/>
          <w:szCs w:val="24"/>
        </w:rPr>
        <w:t>5.80%</w:t>
      </w:r>
      <w:r w:rsidR="005240DC" w:rsidRPr="001E01E7">
        <w:rPr>
          <w:szCs w:val="24"/>
        </w:rPr>
        <w:t xml:space="preserve"> to </w:t>
      </w:r>
      <w:r w:rsidR="005240DC" w:rsidRPr="001E01E7">
        <w:rPr>
          <w:rStyle w:val="Strong"/>
          <w:szCs w:val="24"/>
        </w:rPr>
        <w:t>US$ 1,113 million</w:t>
      </w:r>
      <w:r w:rsidR="005240DC" w:rsidRPr="001E01E7">
        <w:rPr>
          <w:szCs w:val="24"/>
        </w:rPr>
        <w:t xml:space="preserve">, the highest level recorded during the period under review. Thus, despite the fluctuations observed during the intervening years, BENIN's merchandise exports expanded by approximately </w:t>
      </w:r>
      <w:r w:rsidR="005240DC" w:rsidRPr="001E01E7">
        <w:rPr>
          <w:rStyle w:val="Strong"/>
          <w:szCs w:val="24"/>
        </w:rPr>
        <w:t>31.56% between 2020 and 2024</w:t>
      </w:r>
      <w:r w:rsidR="005240DC" w:rsidRPr="001E01E7">
        <w:rPr>
          <w:szCs w:val="24"/>
        </w:rPr>
        <w:t xml:space="preserve">. The overall trend depicted in </w:t>
      </w:r>
      <w:r w:rsidR="005240DC" w:rsidRPr="001E01E7">
        <w:rPr>
          <w:rStyle w:val="Strong"/>
          <w:szCs w:val="24"/>
        </w:rPr>
        <w:t>Figure 1</w:t>
      </w:r>
      <w:r w:rsidR="005240DC" w:rsidRPr="001E01E7">
        <w:rPr>
          <w:szCs w:val="24"/>
        </w:rPr>
        <w:t xml:space="preserve"> indicates a gradual strengthening of BENIN's export performance, particularly after the decline recorded in 2022. During 2020–2024, merchandise exports registered an </w:t>
      </w:r>
      <w:r w:rsidR="005240DC" w:rsidRPr="001E01E7">
        <w:rPr>
          <w:rStyle w:val="Strong"/>
          <w:szCs w:val="24"/>
        </w:rPr>
        <w:t>Annual Compound Growth Rate (ACGR) of 7.10%</w:t>
      </w:r>
      <w:r w:rsidR="005240DC" w:rsidRPr="001E01E7">
        <w:rPr>
          <w:szCs w:val="24"/>
        </w:rPr>
        <w:t>, reflecting moderate long-term expansion in the country's export sector.</w:t>
      </w:r>
    </w:p>
    <w:p w:rsidR="009E4AB8" w:rsidRPr="001E01E7" w:rsidRDefault="009E4AB8" w:rsidP="00972748">
      <w:pPr>
        <w:pStyle w:val="BodyText"/>
        <w:tabs>
          <w:tab w:val="left" w:pos="910"/>
        </w:tabs>
        <w:rPr>
          <w:szCs w:val="24"/>
        </w:rPr>
      </w:pPr>
      <w:r w:rsidRPr="001E01E7">
        <w:rPr>
          <w:rFonts w:eastAsia="Calibri"/>
          <w:szCs w:val="24"/>
        </w:rPr>
        <w:t xml:space="preserve"> </w:t>
      </w:r>
      <w:r w:rsidR="00972748" w:rsidRPr="001E01E7">
        <w:rPr>
          <w:rFonts w:eastAsia="Calibri"/>
          <w:szCs w:val="24"/>
        </w:rPr>
        <w:tab/>
      </w:r>
    </w:p>
    <w:p w:rsidR="00DE4175" w:rsidRDefault="00DE4175" w:rsidP="00151209">
      <w:pPr>
        <w:pStyle w:val="BodyText"/>
        <w:tabs>
          <w:tab w:val="left" w:pos="567"/>
          <w:tab w:val="left" w:pos="5245"/>
          <w:tab w:val="left" w:pos="6096"/>
          <w:tab w:val="left" w:pos="8364"/>
          <w:tab w:val="left" w:pos="9072"/>
        </w:tabs>
        <w:rPr>
          <w:bCs/>
          <w:szCs w:val="24"/>
        </w:rPr>
      </w:pPr>
    </w:p>
    <w:p w:rsidR="00DE4175" w:rsidRDefault="00DE4175" w:rsidP="00151209">
      <w:pPr>
        <w:pStyle w:val="BodyText"/>
        <w:tabs>
          <w:tab w:val="left" w:pos="567"/>
          <w:tab w:val="left" w:pos="5245"/>
          <w:tab w:val="left" w:pos="6096"/>
          <w:tab w:val="left" w:pos="8364"/>
          <w:tab w:val="left" w:pos="9072"/>
        </w:tabs>
        <w:rPr>
          <w:bCs/>
          <w:szCs w:val="24"/>
        </w:rPr>
      </w:pPr>
    </w:p>
    <w:p w:rsidR="00DE4175" w:rsidRDefault="00DE4175" w:rsidP="00151209">
      <w:pPr>
        <w:pStyle w:val="BodyText"/>
        <w:tabs>
          <w:tab w:val="left" w:pos="567"/>
          <w:tab w:val="left" w:pos="5245"/>
          <w:tab w:val="left" w:pos="6096"/>
          <w:tab w:val="left" w:pos="8364"/>
          <w:tab w:val="left" w:pos="9072"/>
        </w:tabs>
        <w:rPr>
          <w:bCs/>
          <w:szCs w:val="24"/>
        </w:rPr>
      </w:pPr>
    </w:p>
    <w:p w:rsidR="009E4AB8" w:rsidRPr="001E01E7" w:rsidRDefault="009E4AB8" w:rsidP="00151209">
      <w:pPr>
        <w:pStyle w:val="BodyText"/>
        <w:tabs>
          <w:tab w:val="left" w:pos="567"/>
          <w:tab w:val="left" w:pos="5245"/>
          <w:tab w:val="left" w:pos="6096"/>
          <w:tab w:val="left" w:pos="8364"/>
          <w:tab w:val="left" w:pos="9072"/>
        </w:tabs>
        <w:rPr>
          <w:szCs w:val="24"/>
        </w:rPr>
      </w:pPr>
      <w:r w:rsidRPr="001E01E7">
        <w:rPr>
          <w:bCs/>
          <w:szCs w:val="24"/>
        </w:rPr>
        <w:lastRenderedPageBreak/>
        <w:t xml:space="preserve">5.    </w:t>
      </w:r>
      <w:r w:rsidR="005240DC" w:rsidRPr="001E01E7">
        <w:rPr>
          <w:szCs w:val="24"/>
        </w:rPr>
        <w:t xml:space="preserve">BENIN's total merchandise imports also recorded an overall increase during </w:t>
      </w:r>
      <w:r w:rsidR="005240DC" w:rsidRPr="001E01E7">
        <w:rPr>
          <w:rStyle w:val="Strong"/>
          <w:szCs w:val="24"/>
        </w:rPr>
        <w:t>2020–2024</w:t>
      </w:r>
      <w:r w:rsidR="005240DC" w:rsidRPr="001E01E7">
        <w:rPr>
          <w:szCs w:val="24"/>
        </w:rPr>
        <w:t xml:space="preserve">, but their movement was characterized by relatively strong growth in the initial years followed by a marked decline in 2024. Imports increased from </w:t>
      </w:r>
      <w:r w:rsidR="005240DC" w:rsidRPr="001E01E7">
        <w:rPr>
          <w:rStyle w:val="Strong"/>
          <w:szCs w:val="24"/>
        </w:rPr>
        <w:t>US$ 2,654 million in 2020 to US$ 3,422 million in 2021</w:t>
      </w:r>
      <w:r w:rsidR="005240DC" w:rsidRPr="001E01E7">
        <w:rPr>
          <w:szCs w:val="24"/>
        </w:rPr>
        <w:t xml:space="preserve">, registering a substantial annual growth of </w:t>
      </w:r>
      <w:r w:rsidR="005240DC" w:rsidRPr="001E01E7">
        <w:rPr>
          <w:rStyle w:val="Strong"/>
          <w:szCs w:val="24"/>
        </w:rPr>
        <w:t>28.94%</w:t>
      </w:r>
      <w:r w:rsidR="005240DC" w:rsidRPr="001E01E7">
        <w:rPr>
          <w:szCs w:val="24"/>
        </w:rPr>
        <w:t xml:space="preserve">. Import growth remained positive in 2022, with imports rising by a further </w:t>
      </w:r>
      <w:r w:rsidR="005240DC" w:rsidRPr="001E01E7">
        <w:rPr>
          <w:rStyle w:val="Strong"/>
          <w:szCs w:val="24"/>
        </w:rPr>
        <w:t>12.39%</w:t>
      </w:r>
      <w:r w:rsidR="005240DC" w:rsidRPr="001E01E7">
        <w:rPr>
          <w:szCs w:val="24"/>
        </w:rPr>
        <w:t xml:space="preserve"> to </w:t>
      </w:r>
      <w:r w:rsidR="005240DC" w:rsidRPr="001E01E7">
        <w:rPr>
          <w:rStyle w:val="Strong"/>
          <w:szCs w:val="24"/>
        </w:rPr>
        <w:t>US$ 3,846 million</w:t>
      </w:r>
      <w:r w:rsidR="005240DC" w:rsidRPr="001E01E7">
        <w:rPr>
          <w:szCs w:val="24"/>
        </w:rPr>
        <w:t xml:space="preserve">, which represented the highest import value during the period under review. In 2023, imports increased marginally by </w:t>
      </w:r>
      <w:r w:rsidR="005240DC" w:rsidRPr="001E01E7">
        <w:rPr>
          <w:rStyle w:val="Strong"/>
          <w:szCs w:val="24"/>
        </w:rPr>
        <w:t>1.53%</w:t>
      </w:r>
      <w:r w:rsidR="005240DC" w:rsidRPr="001E01E7">
        <w:rPr>
          <w:szCs w:val="24"/>
        </w:rPr>
        <w:t xml:space="preserve">, reaching </w:t>
      </w:r>
      <w:r w:rsidR="005240DC" w:rsidRPr="001E01E7">
        <w:rPr>
          <w:rStyle w:val="Strong"/>
          <w:szCs w:val="24"/>
        </w:rPr>
        <w:t>US$ 3,905 million</w:t>
      </w:r>
      <w:r w:rsidR="005240DC" w:rsidRPr="001E01E7">
        <w:rPr>
          <w:szCs w:val="24"/>
        </w:rPr>
        <w:t xml:space="preserve">, the peak level for the five-year period. However, imports declined significantly by </w:t>
      </w:r>
      <w:r w:rsidR="005240DC" w:rsidRPr="001E01E7">
        <w:rPr>
          <w:rStyle w:val="Strong"/>
          <w:szCs w:val="24"/>
        </w:rPr>
        <w:t>13.78% in 2024</w:t>
      </w:r>
      <w:r w:rsidR="005240DC" w:rsidRPr="001E01E7">
        <w:rPr>
          <w:szCs w:val="24"/>
        </w:rPr>
        <w:t xml:space="preserve">, falling to </w:t>
      </w:r>
      <w:r w:rsidR="005240DC" w:rsidRPr="001E01E7">
        <w:rPr>
          <w:rStyle w:val="Strong"/>
          <w:szCs w:val="24"/>
        </w:rPr>
        <w:t>US$ 3,367 million</w:t>
      </w:r>
      <w:r w:rsidR="005240DC" w:rsidRPr="001E01E7">
        <w:rPr>
          <w:szCs w:val="24"/>
        </w:rPr>
        <w:t xml:space="preserve">. Despite this decline in the latest year, imports in 2024 remained approximately </w:t>
      </w:r>
      <w:r w:rsidR="005240DC" w:rsidRPr="001E01E7">
        <w:rPr>
          <w:rStyle w:val="Strong"/>
          <w:szCs w:val="24"/>
        </w:rPr>
        <w:t>26.84% higher than their 2020 level</w:t>
      </w:r>
      <w:r w:rsidR="005240DC" w:rsidRPr="001E01E7">
        <w:rPr>
          <w:szCs w:val="24"/>
        </w:rPr>
        <w:t xml:space="preserve">. As illustrated in </w:t>
      </w:r>
      <w:r w:rsidR="005240DC" w:rsidRPr="001E01E7">
        <w:rPr>
          <w:rStyle w:val="Strong"/>
          <w:szCs w:val="24"/>
        </w:rPr>
        <w:t>Figure 1</w:t>
      </w:r>
      <w:r w:rsidR="005240DC" w:rsidRPr="001E01E7">
        <w:rPr>
          <w:szCs w:val="24"/>
        </w:rPr>
        <w:t xml:space="preserve">, imports remained consistently above exports throughout the entire period, indicating BENIN's continued dependence on imports relative to its merchandise export earnings. During 2020–2024, merchandise imports registered an </w:t>
      </w:r>
      <w:r w:rsidR="005240DC" w:rsidRPr="001E01E7">
        <w:rPr>
          <w:rStyle w:val="Strong"/>
          <w:szCs w:val="24"/>
        </w:rPr>
        <w:t>ACGR of 6.13%</w:t>
      </w:r>
      <w:r w:rsidR="005240DC" w:rsidRPr="001E01E7">
        <w:rPr>
          <w:szCs w:val="24"/>
        </w:rPr>
        <w:t>, indicating steady long-term expansion, although the pace of growth moderated towards the end of the period.</w:t>
      </w:r>
    </w:p>
    <w:p w:rsidR="009E4AB8" w:rsidRPr="001E01E7" w:rsidRDefault="009E4AB8" w:rsidP="00D82139">
      <w:pPr>
        <w:pStyle w:val="BodyText"/>
        <w:ind w:left="284"/>
        <w:rPr>
          <w:szCs w:val="24"/>
        </w:rPr>
      </w:pPr>
    </w:p>
    <w:p w:rsidR="009E4AB8" w:rsidRPr="00990936" w:rsidRDefault="009E4AB8" w:rsidP="00D82139">
      <w:pPr>
        <w:pStyle w:val="BodyText"/>
        <w:tabs>
          <w:tab w:val="left" w:pos="567"/>
        </w:tabs>
        <w:rPr>
          <w:szCs w:val="24"/>
        </w:rPr>
      </w:pPr>
      <w:r w:rsidRPr="001E01E7">
        <w:rPr>
          <w:szCs w:val="24"/>
        </w:rPr>
        <w:t xml:space="preserve">6.    </w:t>
      </w:r>
      <w:r w:rsidR="00B063EC" w:rsidRPr="001E01E7">
        <w:rPr>
          <w:szCs w:val="24"/>
        </w:rPr>
        <w:t xml:space="preserve"> </w:t>
      </w:r>
      <w:r w:rsidR="005240DC" w:rsidRPr="001E01E7">
        <w:rPr>
          <w:szCs w:val="24"/>
        </w:rPr>
        <w:t xml:space="preserve">BENIN remained a </w:t>
      </w:r>
      <w:r w:rsidR="005240DC" w:rsidRPr="001E01E7">
        <w:rPr>
          <w:rStyle w:val="Strong"/>
          <w:szCs w:val="24"/>
        </w:rPr>
        <w:t>net merchandise-importing country throughout the period 2020–2024</w:t>
      </w:r>
      <w:r w:rsidR="005240DC" w:rsidRPr="001E01E7">
        <w:rPr>
          <w:szCs w:val="24"/>
        </w:rPr>
        <w:t xml:space="preserve">, with the merchandise trade balance remaining in deficit in each year under review. The trade deficit widened from </w:t>
      </w:r>
      <w:r w:rsidR="005240DC" w:rsidRPr="001E01E7">
        <w:rPr>
          <w:rStyle w:val="Strong"/>
          <w:szCs w:val="24"/>
        </w:rPr>
        <w:t xml:space="preserve">US$ 1,808 million in 2020 to US$ 2,396 million in </w:t>
      </w:r>
      <w:proofErr w:type="gramStart"/>
      <w:r w:rsidR="005240DC" w:rsidRPr="001E01E7">
        <w:rPr>
          <w:rStyle w:val="Strong"/>
          <w:szCs w:val="24"/>
        </w:rPr>
        <w:t>2021</w:t>
      </w:r>
      <w:r w:rsidR="005240DC" w:rsidRPr="001E01E7">
        <w:rPr>
          <w:szCs w:val="24"/>
        </w:rPr>
        <w:t>,</w:t>
      </w:r>
      <w:proofErr w:type="gramEnd"/>
      <w:r w:rsidR="005240DC" w:rsidRPr="001E01E7">
        <w:rPr>
          <w:szCs w:val="24"/>
        </w:rPr>
        <w:t xml:space="preserve"> and further to </w:t>
      </w:r>
      <w:r w:rsidR="005240DC" w:rsidRPr="001E01E7">
        <w:rPr>
          <w:rStyle w:val="Strong"/>
          <w:szCs w:val="24"/>
        </w:rPr>
        <w:t>US$ 2,947 million in 2022</w:t>
      </w:r>
      <w:r w:rsidR="005240DC" w:rsidRPr="001E01E7">
        <w:rPr>
          <w:szCs w:val="24"/>
        </w:rPr>
        <w:t xml:space="preserve">, representing the largest trade deficit during the period. The deficit subsequently narrowed moderately to </w:t>
      </w:r>
      <w:r w:rsidR="005240DC" w:rsidRPr="001E01E7">
        <w:rPr>
          <w:rStyle w:val="Strong"/>
          <w:szCs w:val="24"/>
        </w:rPr>
        <w:t>US$ 2,853 million in 2023</w:t>
      </w:r>
      <w:r w:rsidR="005240DC" w:rsidRPr="001E01E7">
        <w:rPr>
          <w:szCs w:val="24"/>
        </w:rPr>
        <w:t xml:space="preserve"> and further to </w:t>
      </w:r>
      <w:r w:rsidR="005240DC" w:rsidRPr="001E01E7">
        <w:rPr>
          <w:rStyle w:val="Strong"/>
          <w:szCs w:val="24"/>
        </w:rPr>
        <w:t>US$ 2,254 million in 2024</w:t>
      </w:r>
      <w:r w:rsidR="005240DC" w:rsidRPr="001E01E7">
        <w:rPr>
          <w:szCs w:val="24"/>
        </w:rPr>
        <w:t xml:space="preserve">, reflecting the combined effect of stronger export performance and lower imports in 2024. Nevertheless, the persistence of a substantial negative trade balance throughout the period indicates that BENIN's merchandise imports significantly exceeded its exports. This relationship is clearly reflected in </w:t>
      </w:r>
      <w:r w:rsidR="005240DC" w:rsidRPr="001E01E7">
        <w:rPr>
          <w:rStyle w:val="Strong"/>
          <w:szCs w:val="24"/>
        </w:rPr>
        <w:t>Figure 1</w:t>
      </w:r>
      <w:r w:rsidR="005240DC" w:rsidRPr="001E01E7">
        <w:rPr>
          <w:szCs w:val="24"/>
        </w:rPr>
        <w:t xml:space="preserve">, where the import series remains consistently above the export series and the trade balance remains below zero in every year. At the same time, BENIN's total merchandise trade volume increased from </w:t>
      </w:r>
      <w:r w:rsidR="005240DC" w:rsidRPr="001E01E7">
        <w:rPr>
          <w:rStyle w:val="Strong"/>
          <w:szCs w:val="24"/>
        </w:rPr>
        <w:t>US$ 3,500 million in 2020 to US$ 4,448 million in 2021</w:t>
      </w:r>
      <w:r w:rsidR="005240DC" w:rsidRPr="001E01E7">
        <w:rPr>
          <w:szCs w:val="24"/>
        </w:rPr>
        <w:t xml:space="preserve">, and further to </w:t>
      </w:r>
      <w:r w:rsidR="005240DC" w:rsidRPr="001E01E7">
        <w:rPr>
          <w:rStyle w:val="Strong"/>
          <w:szCs w:val="24"/>
        </w:rPr>
        <w:t>US$ 4,745 million in 2022</w:t>
      </w:r>
      <w:r w:rsidR="005240DC" w:rsidRPr="001E01E7">
        <w:rPr>
          <w:szCs w:val="24"/>
        </w:rPr>
        <w:t xml:space="preserve">, before reaching a period high of </w:t>
      </w:r>
      <w:r w:rsidR="005240DC" w:rsidRPr="001E01E7">
        <w:rPr>
          <w:rStyle w:val="Strong"/>
          <w:szCs w:val="24"/>
        </w:rPr>
        <w:t>US$ 4,957 million in 2023</w:t>
      </w:r>
      <w:r w:rsidR="005240DC" w:rsidRPr="001E01E7">
        <w:rPr>
          <w:szCs w:val="24"/>
        </w:rPr>
        <w:t xml:space="preserve">. In 2024, trade volume declined to </w:t>
      </w:r>
      <w:r w:rsidR="005240DC" w:rsidRPr="001E01E7">
        <w:rPr>
          <w:rStyle w:val="Strong"/>
          <w:szCs w:val="24"/>
        </w:rPr>
        <w:t>US$ 4,480 million</w:t>
      </w:r>
      <w:r w:rsidR="005240DC" w:rsidRPr="001E01E7">
        <w:rPr>
          <w:szCs w:val="24"/>
        </w:rPr>
        <w:t xml:space="preserve">, mainly due to the contraction in imports. Despite this year-on-year decline, the overall merchandise trade volume remained approximately </w:t>
      </w:r>
      <w:r w:rsidR="005240DC" w:rsidRPr="001E01E7">
        <w:rPr>
          <w:rStyle w:val="Strong"/>
          <w:szCs w:val="24"/>
        </w:rPr>
        <w:t>28.00% higher in 2024 than in 2020</w:t>
      </w:r>
      <w:r w:rsidR="005240DC" w:rsidRPr="001E01E7">
        <w:rPr>
          <w:szCs w:val="24"/>
        </w:rPr>
        <w:t xml:space="preserve">. During 2020–2024, the total merchandise trade volume registered an </w:t>
      </w:r>
      <w:r w:rsidR="005240DC" w:rsidRPr="001E01E7">
        <w:rPr>
          <w:rStyle w:val="Strong"/>
          <w:szCs w:val="24"/>
        </w:rPr>
        <w:t>ACGR of 6.37%</w:t>
      </w:r>
      <w:r w:rsidR="005240DC" w:rsidRPr="001E01E7">
        <w:rPr>
          <w:szCs w:val="24"/>
        </w:rPr>
        <w:t xml:space="preserve">. Overall, </w:t>
      </w:r>
      <w:r w:rsidR="005240DC" w:rsidRPr="001E01E7">
        <w:rPr>
          <w:rStyle w:val="Strong"/>
          <w:szCs w:val="24"/>
        </w:rPr>
        <w:t>Table 2 and Figure 1 indicate that BENIN's merchandise trade expanded over the five-year period, supported by growth in both exports and imports, but the country continued to experience a substantial merchandise trade deficit throughout the period</w:t>
      </w:r>
      <w:r w:rsidR="005240DC" w:rsidRPr="001E01E7">
        <w:rPr>
          <w:szCs w:val="24"/>
        </w:rPr>
        <w:t>.</w:t>
      </w:r>
      <w:r w:rsidRPr="00D82139">
        <w:rPr>
          <w:szCs w:val="24"/>
        </w:rPr>
        <w:t xml:space="preserve">  </w:t>
      </w:r>
    </w:p>
    <w:p w:rsidR="00D93F85" w:rsidRPr="00990936" w:rsidRDefault="00D93F85" w:rsidP="009E4AB8">
      <w:pPr>
        <w:pStyle w:val="BodyText"/>
        <w:rPr>
          <w:szCs w:val="24"/>
        </w:rPr>
      </w:pPr>
    </w:p>
    <w:p w:rsidR="00FA776E" w:rsidRPr="003167BB" w:rsidRDefault="009E4AB8" w:rsidP="00B20A31">
      <w:pPr>
        <w:pStyle w:val="BodyText"/>
        <w:tabs>
          <w:tab w:val="left" w:pos="8647"/>
        </w:tabs>
        <w:ind w:left="284"/>
        <w:rPr>
          <w:b/>
          <w:bCs/>
          <w:color w:val="943634" w:themeColor="accent2" w:themeShade="BF"/>
          <w:szCs w:val="24"/>
        </w:rPr>
      </w:pPr>
      <w:r w:rsidRPr="003167BB">
        <w:rPr>
          <w:b/>
          <w:bCs/>
          <w:color w:val="943634" w:themeColor="accent2" w:themeShade="BF"/>
          <w:szCs w:val="24"/>
        </w:rPr>
        <w:t xml:space="preserve">A snapshot of </w:t>
      </w:r>
      <w:r w:rsidR="00A44803">
        <w:rPr>
          <w:b/>
          <w:bCs/>
          <w:color w:val="943634" w:themeColor="accent2" w:themeShade="BF"/>
          <w:szCs w:val="24"/>
        </w:rPr>
        <w:t>BENIN</w:t>
      </w:r>
      <w:r w:rsidRPr="003167BB">
        <w:rPr>
          <w:b/>
          <w:bCs/>
          <w:color w:val="943634" w:themeColor="accent2" w:themeShade="BF"/>
          <w:szCs w:val="24"/>
        </w:rPr>
        <w:t>’s overall Trade Statistics is presented in Table 2 and Figure 1 below.</w:t>
      </w:r>
    </w:p>
    <w:tbl>
      <w:tblPr>
        <w:tblW w:w="11718" w:type="dxa"/>
        <w:tblInd w:w="-176" w:type="dxa"/>
        <w:tblLook w:val="04A0"/>
      </w:tblPr>
      <w:tblGrid>
        <w:gridCol w:w="142"/>
        <w:gridCol w:w="1134"/>
        <w:gridCol w:w="88"/>
        <w:gridCol w:w="54"/>
        <w:gridCol w:w="1081"/>
        <w:gridCol w:w="53"/>
        <w:gridCol w:w="142"/>
        <w:gridCol w:w="261"/>
        <w:gridCol w:w="1157"/>
        <w:gridCol w:w="441"/>
        <w:gridCol w:w="834"/>
        <w:gridCol w:w="1418"/>
        <w:gridCol w:w="284"/>
        <w:gridCol w:w="138"/>
        <w:gridCol w:w="236"/>
        <w:gridCol w:w="168"/>
        <w:gridCol w:w="733"/>
        <w:gridCol w:w="805"/>
        <w:gridCol w:w="896"/>
        <w:gridCol w:w="511"/>
        <w:gridCol w:w="623"/>
        <w:gridCol w:w="284"/>
        <w:gridCol w:w="141"/>
        <w:gridCol w:w="95"/>
      </w:tblGrid>
      <w:tr w:rsidR="00970E9B" w:rsidRPr="00970E9B" w:rsidTr="00A12BA0">
        <w:trPr>
          <w:gridBefore w:val="1"/>
          <w:wBefore w:w="142" w:type="dxa"/>
          <w:trHeight w:val="375"/>
        </w:trPr>
        <w:tc>
          <w:tcPr>
            <w:tcW w:w="1276" w:type="dxa"/>
            <w:gridSpan w:val="3"/>
            <w:tcBorders>
              <w:top w:val="nil"/>
              <w:left w:val="nil"/>
              <w:bottom w:val="nil"/>
              <w:right w:val="nil"/>
            </w:tcBorders>
            <w:shd w:val="clear" w:color="auto" w:fill="auto"/>
            <w:noWrap/>
            <w:vAlign w:val="bottom"/>
            <w:hideMark/>
          </w:tcPr>
          <w:p w:rsidR="00970E9B" w:rsidRPr="00970E9B" w:rsidRDefault="00970E9B" w:rsidP="00970E9B">
            <w:pPr>
              <w:spacing w:after="0" w:line="240" w:lineRule="auto"/>
              <w:rPr>
                <w:rFonts w:ascii="Times New Roman" w:eastAsia="Times New Roman" w:hAnsi="Times New Roman" w:cs="Times New Roman"/>
                <w:sz w:val="24"/>
                <w:szCs w:val="24"/>
                <w:lang w:eastAsia="en-IN" w:bidi="bn-IN"/>
              </w:rPr>
            </w:pPr>
          </w:p>
        </w:tc>
        <w:tc>
          <w:tcPr>
            <w:tcW w:w="1537" w:type="dxa"/>
            <w:gridSpan w:val="4"/>
            <w:tcBorders>
              <w:top w:val="nil"/>
              <w:left w:val="nil"/>
              <w:bottom w:val="nil"/>
              <w:right w:val="nil"/>
            </w:tcBorders>
            <w:shd w:val="clear" w:color="auto" w:fill="auto"/>
            <w:vAlign w:val="bottom"/>
            <w:hideMark/>
          </w:tcPr>
          <w:p w:rsidR="00970E9B" w:rsidRPr="00970E9B" w:rsidRDefault="00970E9B" w:rsidP="00970E9B">
            <w:pPr>
              <w:spacing w:after="0" w:line="240" w:lineRule="auto"/>
              <w:rPr>
                <w:rFonts w:ascii="Times New Roman" w:eastAsia="Times New Roman" w:hAnsi="Times New Roman" w:cs="Times New Roman"/>
                <w:sz w:val="24"/>
                <w:szCs w:val="24"/>
                <w:lang w:eastAsia="en-IN" w:bidi="bn-IN"/>
              </w:rPr>
            </w:pPr>
          </w:p>
        </w:tc>
        <w:tc>
          <w:tcPr>
            <w:tcW w:w="1598" w:type="dxa"/>
            <w:gridSpan w:val="2"/>
            <w:tcBorders>
              <w:top w:val="nil"/>
              <w:left w:val="nil"/>
              <w:bottom w:val="nil"/>
              <w:right w:val="nil"/>
            </w:tcBorders>
            <w:shd w:val="clear" w:color="auto" w:fill="auto"/>
            <w:vAlign w:val="bottom"/>
            <w:hideMark/>
          </w:tcPr>
          <w:p w:rsidR="00970E9B" w:rsidRPr="00970E9B" w:rsidRDefault="00970E9B" w:rsidP="00970E9B">
            <w:pPr>
              <w:spacing w:after="0" w:line="240" w:lineRule="auto"/>
              <w:rPr>
                <w:rFonts w:ascii="Times New Roman" w:eastAsia="Times New Roman" w:hAnsi="Times New Roman" w:cs="Times New Roman"/>
                <w:sz w:val="24"/>
                <w:szCs w:val="24"/>
                <w:lang w:eastAsia="en-IN" w:bidi="bn-IN"/>
              </w:rPr>
            </w:pPr>
          </w:p>
        </w:tc>
        <w:tc>
          <w:tcPr>
            <w:tcW w:w="3078" w:type="dxa"/>
            <w:gridSpan w:val="6"/>
            <w:tcBorders>
              <w:top w:val="nil"/>
              <w:left w:val="nil"/>
              <w:bottom w:val="nil"/>
              <w:right w:val="nil"/>
            </w:tcBorders>
            <w:shd w:val="clear" w:color="auto" w:fill="auto"/>
            <w:vAlign w:val="bottom"/>
            <w:hideMark/>
          </w:tcPr>
          <w:p w:rsidR="004D0C31" w:rsidRDefault="004D0C31" w:rsidP="00970E9B">
            <w:pPr>
              <w:spacing w:after="0" w:line="240" w:lineRule="auto"/>
              <w:rPr>
                <w:rFonts w:ascii="Times New Roman" w:eastAsia="Times New Roman" w:hAnsi="Times New Roman" w:cs="Times New Roman"/>
                <w:b/>
                <w:bCs/>
                <w:color w:val="365F91" w:themeColor="accent1" w:themeShade="BF"/>
                <w:sz w:val="24"/>
                <w:szCs w:val="24"/>
                <w:lang w:eastAsia="en-IN" w:bidi="bn-IN"/>
              </w:rPr>
            </w:pPr>
          </w:p>
          <w:p w:rsidR="00DE4175" w:rsidRDefault="00DE4175" w:rsidP="00970E9B">
            <w:pPr>
              <w:spacing w:after="0" w:line="240" w:lineRule="auto"/>
              <w:rPr>
                <w:rFonts w:ascii="Times New Roman" w:eastAsia="Times New Roman" w:hAnsi="Times New Roman" w:cs="Times New Roman"/>
                <w:b/>
                <w:bCs/>
                <w:color w:val="365F91" w:themeColor="accent1" w:themeShade="BF"/>
                <w:sz w:val="24"/>
                <w:szCs w:val="24"/>
                <w:lang w:eastAsia="en-IN" w:bidi="bn-IN"/>
              </w:rPr>
            </w:pPr>
            <w:r>
              <w:rPr>
                <w:rFonts w:ascii="Times New Roman" w:eastAsia="Times New Roman" w:hAnsi="Times New Roman" w:cs="Times New Roman"/>
                <w:b/>
                <w:bCs/>
                <w:color w:val="365F91" w:themeColor="accent1" w:themeShade="BF"/>
                <w:sz w:val="24"/>
                <w:szCs w:val="24"/>
                <w:lang w:eastAsia="en-IN" w:bidi="bn-IN"/>
              </w:rPr>
              <w:t xml:space="preserve">  </w:t>
            </w:r>
          </w:p>
          <w:p w:rsidR="00970E9B" w:rsidRPr="003167BB" w:rsidRDefault="008D568A" w:rsidP="00970E9B">
            <w:pPr>
              <w:spacing w:after="0" w:line="240" w:lineRule="auto"/>
              <w:rPr>
                <w:rFonts w:ascii="Times New Roman" w:eastAsia="Times New Roman" w:hAnsi="Times New Roman" w:cs="Times New Roman"/>
                <w:b/>
                <w:bCs/>
                <w:color w:val="365F91" w:themeColor="accent1" w:themeShade="BF"/>
                <w:sz w:val="24"/>
                <w:szCs w:val="24"/>
                <w:lang w:eastAsia="en-IN" w:bidi="bn-IN"/>
              </w:rPr>
            </w:pPr>
            <w:r>
              <w:rPr>
                <w:rFonts w:ascii="Times New Roman" w:eastAsia="Times New Roman" w:hAnsi="Times New Roman" w:cs="Times New Roman"/>
                <w:b/>
                <w:bCs/>
                <w:color w:val="365F91" w:themeColor="accent1" w:themeShade="BF"/>
                <w:sz w:val="24"/>
                <w:szCs w:val="24"/>
                <w:lang w:eastAsia="en-IN" w:bidi="bn-IN"/>
              </w:rPr>
              <w:t xml:space="preserve"> </w:t>
            </w:r>
            <w:r w:rsidR="00970E9B" w:rsidRPr="003167BB">
              <w:rPr>
                <w:rFonts w:ascii="Times New Roman" w:eastAsia="Times New Roman" w:hAnsi="Times New Roman" w:cs="Times New Roman"/>
                <w:b/>
                <w:bCs/>
                <w:color w:val="365F91" w:themeColor="accent1" w:themeShade="BF"/>
                <w:sz w:val="24"/>
                <w:szCs w:val="24"/>
                <w:lang w:eastAsia="en-IN" w:bidi="bn-IN"/>
              </w:rPr>
              <w:t>TABLE - 2</w:t>
            </w:r>
          </w:p>
        </w:tc>
        <w:tc>
          <w:tcPr>
            <w:tcW w:w="1537" w:type="dxa"/>
            <w:gridSpan w:val="2"/>
            <w:tcBorders>
              <w:top w:val="nil"/>
              <w:left w:val="nil"/>
              <w:bottom w:val="nil"/>
              <w:right w:val="nil"/>
            </w:tcBorders>
            <w:shd w:val="clear" w:color="auto" w:fill="auto"/>
            <w:vAlign w:val="bottom"/>
            <w:hideMark/>
          </w:tcPr>
          <w:p w:rsidR="00970E9B" w:rsidRPr="00970E9B" w:rsidRDefault="00970E9B" w:rsidP="00970E9B">
            <w:pPr>
              <w:spacing w:after="0" w:line="240" w:lineRule="auto"/>
              <w:rPr>
                <w:rFonts w:ascii="Times New Roman" w:eastAsia="Times New Roman" w:hAnsi="Times New Roman" w:cs="Times New Roman"/>
                <w:sz w:val="24"/>
                <w:szCs w:val="24"/>
                <w:lang w:eastAsia="en-IN" w:bidi="bn-IN"/>
              </w:rPr>
            </w:pPr>
          </w:p>
        </w:tc>
        <w:tc>
          <w:tcPr>
            <w:tcW w:w="1407" w:type="dxa"/>
            <w:gridSpan w:val="2"/>
            <w:tcBorders>
              <w:top w:val="nil"/>
              <w:left w:val="nil"/>
              <w:bottom w:val="nil"/>
              <w:right w:val="nil"/>
            </w:tcBorders>
            <w:shd w:val="clear" w:color="auto" w:fill="auto"/>
            <w:vAlign w:val="bottom"/>
            <w:hideMark/>
          </w:tcPr>
          <w:p w:rsidR="00970E9B" w:rsidRPr="00970E9B" w:rsidRDefault="00970E9B" w:rsidP="00970E9B">
            <w:pPr>
              <w:spacing w:after="0" w:line="240" w:lineRule="auto"/>
              <w:rPr>
                <w:rFonts w:ascii="Times New Roman" w:eastAsia="Times New Roman" w:hAnsi="Times New Roman" w:cs="Times New Roman"/>
                <w:sz w:val="24"/>
                <w:szCs w:val="24"/>
                <w:lang w:eastAsia="en-IN" w:bidi="bn-IN"/>
              </w:rPr>
            </w:pPr>
          </w:p>
        </w:tc>
        <w:tc>
          <w:tcPr>
            <w:tcW w:w="907" w:type="dxa"/>
            <w:gridSpan w:val="2"/>
            <w:tcBorders>
              <w:top w:val="nil"/>
              <w:left w:val="nil"/>
              <w:bottom w:val="nil"/>
              <w:right w:val="nil"/>
            </w:tcBorders>
            <w:shd w:val="clear" w:color="auto" w:fill="auto"/>
            <w:vAlign w:val="bottom"/>
            <w:hideMark/>
          </w:tcPr>
          <w:p w:rsidR="00970E9B" w:rsidRPr="00970E9B" w:rsidRDefault="00970E9B" w:rsidP="00970E9B">
            <w:pPr>
              <w:spacing w:after="0" w:line="240" w:lineRule="auto"/>
              <w:rPr>
                <w:rFonts w:ascii="Times New Roman" w:eastAsia="Times New Roman" w:hAnsi="Times New Roman" w:cs="Times New Roman"/>
                <w:sz w:val="24"/>
                <w:szCs w:val="24"/>
                <w:lang w:eastAsia="en-IN" w:bidi="bn-IN"/>
              </w:rPr>
            </w:pPr>
          </w:p>
        </w:tc>
        <w:tc>
          <w:tcPr>
            <w:tcW w:w="236" w:type="dxa"/>
            <w:gridSpan w:val="2"/>
            <w:tcBorders>
              <w:top w:val="nil"/>
              <w:left w:val="nil"/>
              <w:bottom w:val="nil"/>
              <w:right w:val="nil"/>
            </w:tcBorders>
            <w:shd w:val="clear" w:color="auto" w:fill="auto"/>
            <w:noWrap/>
            <w:vAlign w:val="bottom"/>
            <w:hideMark/>
          </w:tcPr>
          <w:p w:rsidR="00970E9B" w:rsidRPr="00970E9B" w:rsidRDefault="00970E9B" w:rsidP="00970E9B">
            <w:pPr>
              <w:spacing w:after="0" w:line="240" w:lineRule="auto"/>
              <w:rPr>
                <w:rFonts w:ascii="Times New Roman" w:eastAsia="Times New Roman" w:hAnsi="Times New Roman" w:cs="Times New Roman"/>
                <w:sz w:val="24"/>
                <w:szCs w:val="24"/>
                <w:lang w:eastAsia="en-IN" w:bidi="bn-IN"/>
              </w:rPr>
            </w:pPr>
          </w:p>
        </w:tc>
      </w:tr>
      <w:tr w:rsidR="00970E9B" w:rsidRPr="00970E9B" w:rsidTr="00A12BA0">
        <w:trPr>
          <w:gridBefore w:val="1"/>
          <w:gridAfter w:val="3"/>
          <w:wBefore w:w="142" w:type="dxa"/>
          <w:wAfter w:w="519" w:type="dxa"/>
          <w:trHeight w:val="74"/>
        </w:trPr>
        <w:tc>
          <w:tcPr>
            <w:tcW w:w="11057" w:type="dxa"/>
            <w:gridSpan w:val="20"/>
            <w:tcBorders>
              <w:top w:val="nil"/>
              <w:left w:val="nil"/>
              <w:bottom w:val="nil"/>
              <w:right w:val="nil"/>
            </w:tcBorders>
            <w:shd w:val="clear" w:color="auto" w:fill="auto"/>
            <w:noWrap/>
            <w:vAlign w:val="bottom"/>
            <w:hideMark/>
          </w:tcPr>
          <w:p w:rsidR="00970E9B" w:rsidRPr="00970E9B" w:rsidRDefault="008D568A" w:rsidP="00970E9B">
            <w:pPr>
              <w:spacing w:after="0" w:line="240" w:lineRule="auto"/>
              <w:jc w:val="center"/>
              <w:rPr>
                <w:rFonts w:ascii="Times New Roman" w:eastAsia="Times New Roman" w:hAnsi="Times New Roman" w:cs="Times New Roman"/>
                <w:b/>
                <w:bCs/>
                <w:sz w:val="24"/>
                <w:szCs w:val="24"/>
                <w:lang w:eastAsia="en-IN" w:bidi="bn-IN"/>
              </w:rPr>
            </w:pPr>
            <w:r>
              <w:rPr>
                <w:rFonts w:ascii="Times New Roman" w:eastAsia="Times New Roman" w:hAnsi="Times New Roman" w:cs="Times New Roman"/>
                <w:b/>
                <w:bCs/>
                <w:sz w:val="24"/>
                <w:szCs w:val="24"/>
                <w:lang w:eastAsia="en-IN" w:bidi="bn-IN"/>
              </w:rPr>
              <w:t xml:space="preserve">    </w:t>
            </w:r>
            <w:r w:rsidR="00A44803">
              <w:rPr>
                <w:rFonts w:ascii="Times New Roman" w:eastAsia="Times New Roman" w:hAnsi="Times New Roman" w:cs="Times New Roman"/>
                <w:b/>
                <w:bCs/>
                <w:sz w:val="24"/>
                <w:szCs w:val="24"/>
                <w:lang w:eastAsia="en-IN" w:bidi="bn-IN"/>
              </w:rPr>
              <w:t>BENIN</w:t>
            </w:r>
            <w:r w:rsidR="00970E9B" w:rsidRPr="00970E9B">
              <w:rPr>
                <w:rFonts w:ascii="Times New Roman" w:eastAsia="Times New Roman" w:hAnsi="Times New Roman" w:cs="Times New Roman"/>
                <w:b/>
                <w:bCs/>
                <w:sz w:val="24"/>
                <w:szCs w:val="24"/>
                <w:lang w:eastAsia="en-IN" w:bidi="bn-IN"/>
              </w:rPr>
              <w:t>'S TOTAL EXPORTS AND IMPORTS, VOLUME OF TRADE AND BALANCE OF TRADE</w:t>
            </w:r>
          </w:p>
        </w:tc>
      </w:tr>
      <w:tr w:rsidR="00970E9B" w:rsidRPr="00970E9B" w:rsidTr="00A12BA0">
        <w:trPr>
          <w:gridBefore w:val="1"/>
          <w:wBefore w:w="142" w:type="dxa"/>
          <w:trHeight w:val="74"/>
        </w:trPr>
        <w:tc>
          <w:tcPr>
            <w:tcW w:w="1134" w:type="dxa"/>
            <w:tcBorders>
              <w:top w:val="nil"/>
              <w:left w:val="nil"/>
              <w:bottom w:val="nil"/>
              <w:right w:val="nil"/>
            </w:tcBorders>
            <w:shd w:val="clear" w:color="auto" w:fill="auto"/>
            <w:noWrap/>
            <w:vAlign w:val="bottom"/>
            <w:hideMark/>
          </w:tcPr>
          <w:p w:rsidR="00970E9B" w:rsidRPr="00970E9B" w:rsidRDefault="00970E9B" w:rsidP="00970E9B">
            <w:pPr>
              <w:spacing w:after="0" w:line="240" w:lineRule="auto"/>
              <w:rPr>
                <w:rFonts w:ascii="Times New Roman" w:eastAsia="Times New Roman" w:hAnsi="Times New Roman" w:cs="Times New Roman"/>
                <w:sz w:val="24"/>
                <w:szCs w:val="24"/>
                <w:u w:val="single"/>
                <w:lang w:eastAsia="en-IN" w:bidi="bn-IN"/>
              </w:rPr>
            </w:pPr>
          </w:p>
        </w:tc>
        <w:tc>
          <w:tcPr>
            <w:tcW w:w="1276" w:type="dxa"/>
            <w:gridSpan w:val="4"/>
            <w:tcBorders>
              <w:top w:val="nil"/>
              <w:left w:val="nil"/>
              <w:bottom w:val="nil"/>
              <w:right w:val="nil"/>
            </w:tcBorders>
            <w:shd w:val="clear" w:color="auto" w:fill="auto"/>
            <w:noWrap/>
            <w:vAlign w:val="bottom"/>
            <w:hideMark/>
          </w:tcPr>
          <w:p w:rsidR="00970E9B" w:rsidRPr="00970E9B" w:rsidRDefault="00970E9B" w:rsidP="00970E9B">
            <w:pPr>
              <w:spacing w:after="0" w:line="240" w:lineRule="auto"/>
              <w:rPr>
                <w:rFonts w:ascii="Times New Roman" w:eastAsia="Times New Roman" w:hAnsi="Times New Roman" w:cs="Times New Roman"/>
                <w:b/>
                <w:bCs/>
                <w:sz w:val="24"/>
                <w:szCs w:val="24"/>
                <w:u w:val="single"/>
                <w:lang w:eastAsia="en-IN" w:bidi="bn-IN"/>
              </w:rPr>
            </w:pPr>
          </w:p>
        </w:tc>
        <w:tc>
          <w:tcPr>
            <w:tcW w:w="1559" w:type="dxa"/>
            <w:gridSpan w:val="3"/>
            <w:tcBorders>
              <w:top w:val="nil"/>
              <w:left w:val="nil"/>
              <w:bottom w:val="nil"/>
              <w:right w:val="nil"/>
            </w:tcBorders>
            <w:shd w:val="clear" w:color="auto" w:fill="auto"/>
            <w:noWrap/>
            <w:vAlign w:val="bottom"/>
            <w:hideMark/>
          </w:tcPr>
          <w:p w:rsidR="00970E9B" w:rsidRPr="00970E9B" w:rsidRDefault="00970E9B" w:rsidP="00970E9B">
            <w:pPr>
              <w:spacing w:after="0" w:line="240" w:lineRule="auto"/>
              <w:rPr>
                <w:rFonts w:ascii="Times New Roman" w:eastAsia="Times New Roman" w:hAnsi="Times New Roman" w:cs="Times New Roman"/>
                <w:b/>
                <w:bCs/>
                <w:sz w:val="24"/>
                <w:szCs w:val="24"/>
                <w:u w:val="single"/>
                <w:lang w:eastAsia="en-IN" w:bidi="bn-IN"/>
              </w:rPr>
            </w:pPr>
          </w:p>
        </w:tc>
        <w:tc>
          <w:tcPr>
            <w:tcW w:w="2977" w:type="dxa"/>
            <w:gridSpan w:val="4"/>
            <w:tcBorders>
              <w:top w:val="nil"/>
              <w:left w:val="nil"/>
              <w:bottom w:val="nil"/>
              <w:right w:val="nil"/>
            </w:tcBorders>
            <w:shd w:val="clear" w:color="auto" w:fill="auto"/>
            <w:noWrap/>
            <w:vAlign w:val="bottom"/>
            <w:hideMark/>
          </w:tcPr>
          <w:p w:rsidR="00970E9B" w:rsidRPr="00970E9B" w:rsidRDefault="00970E9B" w:rsidP="005C2AEE">
            <w:pPr>
              <w:spacing w:after="0" w:line="240" w:lineRule="auto"/>
              <w:rPr>
                <w:rFonts w:ascii="Times New Roman" w:eastAsia="Times New Roman" w:hAnsi="Times New Roman" w:cs="Times New Roman"/>
                <w:b/>
                <w:bCs/>
                <w:sz w:val="24"/>
                <w:szCs w:val="24"/>
                <w:lang w:eastAsia="en-IN" w:bidi="bn-IN"/>
              </w:rPr>
            </w:pPr>
            <w:r w:rsidRPr="00970E9B">
              <w:rPr>
                <w:rFonts w:ascii="Times New Roman" w:eastAsia="Times New Roman" w:hAnsi="Times New Roman" w:cs="Times New Roman"/>
                <w:b/>
                <w:bCs/>
                <w:sz w:val="24"/>
                <w:szCs w:val="24"/>
                <w:lang w:eastAsia="en-IN" w:bidi="bn-IN"/>
              </w:rPr>
              <w:t>BETWEEN  2020 TO 202</w:t>
            </w:r>
            <w:r w:rsidR="00784C4D">
              <w:rPr>
                <w:rFonts w:ascii="Times New Roman" w:eastAsia="Times New Roman" w:hAnsi="Times New Roman" w:cs="Times New Roman"/>
                <w:b/>
                <w:bCs/>
                <w:sz w:val="24"/>
                <w:szCs w:val="24"/>
                <w:lang w:eastAsia="en-IN" w:bidi="bn-IN"/>
              </w:rPr>
              <w:t>4</w:t>
            </w:r>
          </w:p>
        </w:tc>
        <w:tc>
          <w:tcPr>
            <w:tcW w:w="2080" w:type="dxa"/>
            <w:gridSpan w:val="5"/>
            <w:tcBorders>
              <w:top w:val="nil"/>
              <w:left w:val="nil"/>
              <w:bottom w:val="nil"/>
              <w:right w:val="nil"/>
            </w:tcBorders>
            <w:shd w:val="clear" w:color="auto" w:fill="auto"/>
            <w:noWrap/>
            <w:vAlign w:val="bottom"/>
            <w:hideMark/>
          </w:tcPr>
          <w:p w:rsidR="00970E9B" w:rsidRPr="00970E9B" w:rsidRDefault="00970E9B" w:rsidP="00970E9B">
            <w:pPr>
              <w:spacing w:after="0" w:line="240" w:lineRule="auto"/>
              <w:rPr>
                <w:rFonts w:ascii="Times New Roman" w:eastAsia="Times New Roman" w:hAnsi="Times New Roman" w:cs="Times New Roman"/>
                <w:b/>
                <w:bCs/>
                <w:sz w:val="24"/>
                <w:szCs w:val="24"/>
                <w:lang w:eastAsia="en-IN" w:bidi="bn-IN"/>
              </w:rPr>
            </w:pPr>
          </w:p>
        </w:tc>
        <w:tc>
          <w:tcPr>
            <w:tcW w:w="1407" w:type="dxa"/>
            <w:gridSpan w:val="2"/>
            <w:tcBorders>
              <w:top w:val="nil"/>
              <w:left w:val="nil"/>
              <w:bottom w:val="nil"/>
              <w:right w:val="nil"/>
            </w:tcBorders>
            <w:shd w:val="clear" w:color="auto" w:fill="auto"/>
            <w:noWrap/>
            <w:vAlign w:val="bottom"/>
            <w:hideMark/>
          </w:tcPr>
          <w:p w:rsidR="00970E9B" w:rsidRPr="00970E9B" w:rsidRDefault="00970E9B" w:rsidP="00970E9B">
            <w:pPr>
              <w:spacing w:after="0" w:line="240" w:lineRule="auto"/>
              <w:rPr>
                <w:rFonts w:ascii="Times New Roman" w:eastAsia="Times New Roman" w:hAnsi="Times New Roman" w:cs="Times New Roman"/>
                <w:b/>
                <w:bCs/>
                <w:sz w:val="24"/>
                <w:szCs w:val="24"/>
                <w:u w:val="single"/>
                <w:lang w:eastAsia="en-IN" w:bidi="bn-IN"/>
              </w:rPr>
            </w:pPr>
          </w:p>
        </w:tc>
        <w:tc>
          <w:tcPr>
            <w:tcW w:w="907" w:type="dxa"/>
            <w:gridSpan w:val="2"/>
            <w:tcBorders>
              <w:top w:val="nil"/>
              <w:left w:val="nil"/>
              <w:bottom w:val="nil"/>
              <w:right w:val="nil"/>
            </w:tcBorders>
            <w:shd w:val="clear" w:color="auto" w:fill="auto"/>
            <w:noWrap/>
            <w:vAlign w:val="bottom"/>
            <w:hideMark/>
          </w:tcPr>
          <w:p w:rsidR="00970E9B" w:rsidRPr="00970E9B" w:rsidRDefault="00970E9B" w:rsidP="00970E9B">
            <w:pPr>
              <w:spacing w:after="0" w:line="240" w:lineRule="auto"/>
              <w:rPr>
                <w:rFonts w:ascii="Times New Roman" w:eastAsia="Times New Roman" w:hAnsi="Times New Roman" w:cs="Times New Roman"/>
                <w:sz w:val="24"/>
                <w:szCs w:val="24"/>
                <w:u w:val="single"/>
                <w:lang w:eastAsia="en-IN" w:bidi="bn-IN"/>
              </w:rPr>
            </w:pPr>
          </w:p>
        </w:tc>
        <w:tc>
          <w:tcPr>
            <w:tcW w:w="236" w:type="dxa"/>
            <w:gridSpan w:val="2"/>
            <w:tcBorders>
              <w:top w:val="nil"/>
              <w:left w:val="nil"/>
              <w:bottom w:val="nil"/>
              <w:right w:val="nil"/>
            </w:tcBorders>
            <w:shd w:val="clear" w:color="auto" w:fill="auto"/>
            <w:noWrap/>
            <w:vAlign w:val="bottom"/>
            <w:hideMark/>
          </w:tcPr>
          <w:p w:rsidR="00970E9B" w:rsidRPr="00970E9B" w:rsidRDefault="00970E9B" w:rsidP="00970E9B">
            <w:pPr>
              <w:spacing w:after="0" w:line="240" w:lineRule="auto"/>
              <w:rPr>
                <w:rFonts w:ascii="Times New Roman" w:eastAsia="Times New Roman" w:hAnsi="Times New Roman" w:cs="Times New Roman"/>
                <w:sz w:val="24"/>
                <w:szCs w:val="24"/>
                <w:u w:val="single"/>
                <w:lang w:eastAsia="en-IN" w:bidi="bn-IN"/>
              </w:rPr>
            </w:pPr>
          </w:p>
        </w:tc>
      </w:tr>
      <w:tr w:rsidR="005831C3" w:rsidRPr="005831C3" w:rsidTr="00A12BA0">
        <w:trPr>
          <w:gridAfter w:val="1"/>
          <w:wAfter w:w="94" w:type="dxa"/>
          <w:trHeight w:val="80"/>
        </w:trPr>
        <w:tc>
          <w:tcPr>
            <w:tcW w:w="1364" w:type="dxa"/>
            <w:gridSpan w:val="3"/>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p>
        </w:tc>
        <w:tc>
          <w:tcPr>
            <w:tcW w:w="1330" w:type="dxa"/>
            <w:gridSpan w:val="4"/>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p>
        </w:tc>
        <w:tc>
          <w:tcPr>
            <w:tcW w:w="1418" w:type="dxa"/>
            <w:gridSpan w:val="2"/>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p>
        </w:tc>
        <w:tc>
          <w:tcPr>
            <w:tcW w:w="1275" w:type="dxa"/>
            <w:gridSpan w:val="2"/>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p>
        </w:tc>
        <w:tc>
          <w:tcPr>
            <w:tcW w:w="1418" w:type="dxa"/>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p>
        </w:tc>
        <w:tc>
          <w:tcPr>
            <w:tcW w:w="4819" w:type="dxa"/>
            <w:gridSpan w:val="11"/>
            <w:tcBorders>
              <w:top w:val="nil"/>
              <w:left w:val="nil"/>
              <w:bottom w:val="single" w:sz="4" w:space="0" w:color="auto"/>
              <w:right w:val="nil"/>
            </w:tcBorders>
            <w:shd w:val="clear" w:color="auto" w:fill="auto"/>
            <w:vAlign w:val="bottom"/>
            <w:hideMark/>
          </w:tcPr>
          <w:p w:rsidR="005831C3" w:rsidRPr="005831C3" w:rsidRDefault="005831C3" w:rsidP="005831C3">
            <w:pPr>
              <w:spacing w:after="0" w:line="240" w:lineRule="auto"/>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(Figures in USD Million)</w:t>
            </w:r>
          </w:p>
        </w:tc>
      </w:tr>
      <w:tr w:rsidR="005831C3" w:rsidRPr="005831C3" w:rsidTr="00A12BA0">
        <w:trPr>
          <w:gridAfter w:val="1"/>
          <w:wAfter w:w="94" w:type="dxa"/>
          <w:trHeight w:val="625"/>
        </w:trPr>
        <w:tc>
          <w:tcPr>
            <w:tcW w:w="1364" w:type="dxa"/>
            <w:gridSpan w:val="3"/>
            <w:vMerge w:val="restart"/>
            <w:tcBorders>
              <w:top w:val="single" w:sz="4" w:space="0" w:color="auto"/>
              <w:left w:val="single" w:sz="4" w:space="0" w:color="auto"/>
              <w:right w:val="single" w:sz="4" w:space="0" w:color="auto"/>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Year</w:t>
            </w:r>
          </w:p>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p>
        </w:tc>
        <w:tc>
          <w:tcPr>
            <w:tcW w:w="1330" w:type="dxa"/>
            <w:gridSpan w:val="4"/>
            <w:vMerge w:val="restart"/>
            <w:tcBorders>
              <w:top w:val="single" w:sz="4" w:space="0" w:color="auto"/>
              <w:left w:val="nil"/>
              <w:right w:val="single" w:sz="4" w:space="0" w:color="auto"/>
            </w:tcBorders>
            <w:shd w:val="clear" w:color="auto" w:fill="auto"/>
            <w:noWrap/>
            <w:vAlign w:val="center"/>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Exports</w:t>
            </w:r>
          </w:p>
        </w:tc>
        <w:tc>
          <w:tcPr>
            <w:tcW w:w="1418" w:type="dxa"/>
            <w:gridSpan w:val="2"/>
            <w:vMerge w:val="restart"/>
            <w:tcBorders>
              <w:top w:val="single" w:sz="4" w:space="0" w:color="auto"/>
              <w:left w:val="nil"/>
              <w:right w:val="single" w:sz="4" w:space="0" w:color="auto"/>
            </w:tcBorders>
            <w:shd w:val="clear" w:color="auto" w:fill="auto"/>
            <w:noWrap/>
            <w:vAlign w:val="center"/>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Percentage</w:t>
            </w:r>
          </w:p>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Growth in</w:t>
            </w:r>
          </w:p>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Exports</w:t>
            </w:r>
          </w:p>
        </w:tc>
        <w:tc>
          <w:tcPr>
            <w:tcW w:w="1275" w:type="dxa"/>
            <w:gridSpan w:val="2"/>
            <w:tcBorders>
              <w:top w:val="single" w:sz="4" w:space="0" w:color="auto"/>
              <w:left w:val="nil"/>
              <w:right w:val="single" w:sz="4" w:space="0" w:color="auto"/>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Imports</w:t>
            </w:r>
          </w:p>
        </w:tc>
        <w:tc>
          <w:tcPr>
            <w:tcW w:w="1418" w:type="dxa"/>
            <w:vMerge w:val="restart"/>
            <w:tcBorders>
              <w:top w:val="single" w:sz="4" w:space="0" w:color="auto"/>
              <w:left w:val="nil"/>
              <w:right w:val="single" w:sz="4" w:space="0" w:color="auto"/>
            </w:tcBorders>
            <w:shd w:val="clear" w:color="auto" w:fill="auto"/>
            <w:noWrap/>
            <w:vAlign w:val="center"/>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Percentage</w:t>
            </w:r>
          </w:p>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Growth in</w:t>
            </w:r>
          </w:p>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Imports</w:t>
            </w:r>
          </w:p>
        </w:tc>
        <w:tc>
          <w:tcPr>
            <w:tcW w:w="1559" w:type="dxa"/>
            <w:gridSpan w:val="5"/>
            <w:vMerge w:val="restart"/>
            <w:tcBorders>
              <w:top w:val="nil"/>
              <w:left w:val="nil"/>
              <w:right w:val="single" w:sz="4" w:space="0" w:color="auto"/>
            </w:tcBorders>
            <w:shd w:val="clear" w:color="auto" w:fill="auto"/>
            <w:noWrap/>
            <w:vAlign w:val="center"/>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Volume</w:t>
            </w:r>
          </w:p>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of</w:t>
            </w:r>
          </w:p>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Trade</w:t>
            </w:r>
          </w:p>
        </w:tc>
        <w:tc>
          <w:tcPr>
            <w:tcW w:w="1701" w:type="dxa"/>
            <w:gridSpan w:val="2"/>
            <w:vMerge w:val="restart"/>
            <w:tcBorders>
              <w:top w:val="nil"/>
              <w:left w:val="nil"/>
              <w:right w:val="single" w:sz="4" w:space="0" w:color="auto"/>
            </w:tcBorders>
            <w:shd w:val="clear" w:color="auto" w:fill="auto"/>
            <w:noWrap/>
            <w:vAlign w:val="center"/>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Percentage</w:t>
            </w:r>
          </w:p>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Growth in</w:t>
            </w:r>
          </w:p>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Vol. of Trade</w:t>
            </w:r>
          </w:p>
        </w:tc>
        <w:tc>
          <w:tcPr>
            <w:tcW w:w="1559" w:type="dxa"/>
            <w:gridSpan w:val="4"/>
            <w:vMerge w:val="restart"/>
            <w:tcBorders>
              <w:top w:val="nil"/>
              <w:left w:val="nil"/>
              <w:right w:val="single" w:sz="4" w:space="0" w:color="auto"/>
            </w:tcBorders>
            <w:shd w:val="clear" w:color="auto" w:fill="auto"/>
            <w:noWrap/>
            <w:vAlign w:val="center"/>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Balance</w:t>
            </w:r>
          </w:p>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of</w:t>
            </w:r>
          </w:p>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Trade</w:t>
            </w:r>
          </w:p>
        </w:tc>
      </w:tr>
      <w:tr w:rsidR="005831C3" w:rsidRPr="005831C3" w:rsidTr="00A12BA0">
        <w:trPr>
          <w:gridAfter w:val="1"/>
          <w:wAfter w:w="94" w:type="dxa"/>
          <w:trHeight w:val="137"/>
        </w:trPr>
        <w:tc>
          <w:tcPr>
            <w:tcW w:w="1364" w:type="dxa"/>
            <w:gridSpan w:val="3"/>
            <w:vMerge/>
            <w:tcBorders>
              <w:left w:val="single" w:sz="4" w:space="0" w:color="auto"/>
              <w:bottom w:val="single" w:sz="4" w:space="0" w:color="auto"/>
              <w:right w:val="single" w:sz="4" w:space="0" w:color="auto"/>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p>
        </w:tc>
        <w:tc>
          <w:tcPr>
            <w:tcW w:w="1330" w:type="dxa"/>
            <w:gridSpan w:val="4"/>
            <w:vMerge/>
            <w:tcBorders>
              <w:left w:val="nil"/>
              <w:bottom w:val="single" w:sz="4" w:space="0" w:color="auto"/>
              <w:right w:val="single" w:sz="4" w:space="0" w:color="auto"/>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b/>
                <w:bCs/>
                <w:sz w:val="24"/>
                <w:szCs w:val="24"/>
                <w:lang w:eastAsia="en-IN" w:bidi="bn-IN"/>
              </w:rPr>
            </w:pPr>
          </w:p>
        </w:tc>
        <w:tc>
          <w:tcPr>
            <w:tcW w:w="1418" w:type="dxa"/>
            <w:gridSpan w:val="2"/>
            <w:vMerge/>
            <w:tcBorders>
              <w:left w:val="nil"/>
              <w:bottom w:val="single" w:sz="4" w:space="0" w:color="auto"/>
              <w:right w:val="single" w:sz="4" w:space="0" w:color="auto"/>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b/>
                <w:bCs/>
                <w:sz w:val="24"/>
                <w:szCs w:val="24"/>
                <w:lang w:eastAsia="en-IN" w:bidi="bn-IN"/>
              </w:rPr>
            </w:pPr>
          </w:p>
        </w:tc>
        <w:tc>
          <w:tcPr>
            <w:tcW w:w="1418" w:type="dxa"/>
            <w:vMerge/>
            <w:tcBorders>
              <w:left w:val="nil"/>
              <w:bottom w:val="single" w:sz="4" w:space="0" w:color="auto"/>
              <w:right w:val="single" w:sz="4" w:space="0" w:color="auto"/>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p>
        </w:tc>
        <w:tc>
          <w:tcPr>
            <w:tcW w:w="1559" w:type="dxa"/>
            <w:gridSpan w:val="5"/>
            <w:vMerge/>
            <w:tcBorders>
              <w:left w:val="nil"/>
              <w:bottom w:val="single" w:sz="4" w:space="0" w:color="auto"/>
              <w:right w:val="single" w:sz="4" w:space="0" w:color="auto"/>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p>
        </w:tc>
        <w:tc>
          <w:tcPr>
            <w:tcW w:w="1701" w:type="dxa"/>
            <w:gridSpan w:val="2"/>
            <w:vMerge/>
            <w:tcBorders>
              <w:left w:val="nil"/>
              <w:bottom w:val="single" w:sz="4" w:space="0" w:color="auto"/>
              <w:right w:val="single" w:sz="4" w:space="0" w:color="auto"/>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p>
        </w:tc>
        <w:tc>
          <w:tcPr>
            <w:tcW w:w="1559" w:type="dxa"/>
            <w:gridSpan w:val="4"/>
            <w:vMerge/>
            <w:tcBorders>
              <w:left w:val="nil"/>
              <w:bottom w:val="single" w:sz="4" w:space="0" w:color="auto"/>
              <w:right w:val="single" w:sz="4" w:space="0" w:color="auto"/>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p>
        </w:tc>
      </w:tr>
      <w:tr w:rsidR="005831C3" w:rsidRPr="005831C3" w:rsidTr="00D57F0B">
        <w:trPr>
          <w:gridAfter w:val="1"/>
          <w:wAfter w:w="94" w:type="dxa"/>
          <w:trHeight w:val="315"/>
        </w:trPr>
        <w:tc>
          <w:tcPr>
            <w:tcW w:w="1364" w:type="dxa"/>
            <w:gridSpan w:val="3"/>
            <w:tcBorders>
              <w:top w:val="nil"/>
              <w:left w:val="single" w:sz="4" w:space="0" w:color="auto"/>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2020</w:t>
            </w:r>
          </w:p>
        </w:tc>
        <w:tc>
          <w:tcPr>
            <w:tcW w:w="1330" w:type="dxa"/>
            <w:gridSpan w:val="4"/>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846</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2654</w:t>
            </w:r>
          </w:p>
        </w:tc>
        <w:tc>
          <w:tcPr>
            <w:tcW w:w="1418" w:type="dxa"/>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p>
        </w:tc>
        <w:tc>
          <w:tcPr>
            <w:tcW w:w="1559" w:type="dxa"/>
            <w:gridSpan w:val="5"/>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3,500</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p>
        </w:tc>
        <w:tc>
          <w:tcPr>
            <w:tcW w:w="1559" w:type="dxa"/>
            <w:gridSpan w:val="4"/>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-1808</w:t>
            </w:r>
          </w:p>
        </w:tc>
      </w:tr>
      <w:tr w:rsidR="005831C3" w:rsidRPr="005831C3" w:rsidTr="00D57F0B">
        <w:trPr>
          <w:gridAfter w:val="1"/>
          <w:wAfter w:w="94" w:type="dxa"/>
          <w:trHeight w:val="315"/>
        </w:trPr>
        <w:tc>
          <w:tcPr>
            <w:tcW w:w="1364" w:type="dxa"/>
            <w:gridSpan w:val="3"/>
            <w:tcBorders>
              <w:top w:val="nil"/>
              <w:left w:val="single" w:sz="4" w:space="0" w:color="auto"/>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2021</w:t>
            </w:r>
          </w:p>
        </w:tc>
        <w:tc>
          <w:tcPr>
            <w:tcW w:w="1330" w:type="dxa"/>
            <w:gridSpan w:val="4"/>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1026</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21.28</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3422</w:t>
            </w:r>
          </w:p>
        </w:tc>
        <w:tc>
          <w:tcPr>
            <w:tcW w:w="1418" w:type="dxa"/>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28.94</w:t>
            </w:r>
          </w:p>
        </w:tc>
        <w:tc>
          <w:tcPr>
            <w:tcW w:w="1559" w:type="dxa"/>
            <w:gridSpan w:val="5"/>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4,448</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27.09</w:t>
            </w:r>
          </w:p>
        </w:tc>
        <w:tc>
          <w:tcPr>
            <w:tcW w:w="1559" w:type="dxa"/>
            <w:gridSpan w:val="4"/>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-2396</w:t>
            </w:r>
          </w:p>
        </w:tc>
      </w:tr>
      <w:tr w:rsidR="005831C3" w:rsidRPr="005831C3" w:rsidTr="00D57F0B">
        <w:trPr>
          <w:gridAfter w:val="1"/>
          <w:wAfter w:w="94" w:type="dxa"/>
          <w:trHeight w:val="315"/>
        </w:trPr>
        <w:tc>
          <w:tcPr>
            <w:tcW w:w="1364" w:type="dxa"/>
            <w:gridSpan w:val="3"/>
            <w:tcBorders>
              <w:top w:val="nil"/>
              <w:left w:val="single" w:sz="4" w:space="0" w:color="auto"/>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2022</w:t>
            </w:r>
          </w:p>
        </w:tc>
        <w:tc>
          <w:tcPr>
            <w:tcW w:w="1330" w:type="dxa"/>
            <w:gridSpan w:val="4"/>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899</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-12.38</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3846</w:t>
            </w:r>
          </w:p>
        </w:tc>
        <w:tc>
          <w:tcPr>
            <w:tcW w:w="1418" w:type="dxa"/>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12.39</w:t>
            </w:r>
          </w:p>
        </w:tc>
        <w:tc>
          <w:tcPr>
            <w:tcW w:w="1559" w:type="dxa"/>
            <w:gridSpan w:val="5"/>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4,745</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6.68</w:t>
            </w:r>
          </w:p>
        </w:tc>
        <w:tc>
          <w:tcPr>
            <w:tcW w:w="1559" w:type="dxa"/>
            <w:gridSpan w:val="4"/>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-2947</w:t>
            </w:r>
          </w:p>
        </w:tc>
      </w:tr>
      <w:tr w:rsidR="005831C3" w:rsidRPr="005831C3" w:rsidTr="00D57F0B">
        <w:trPr>
          <w:gridAfter w:val="1"/>
          <w:wAfter w:w="94" w:type="dxa"/>
          <w:trHeight w:val="315"/>
        </w:trPr>
        <w:tc>
          <w:tcPr>
            <w:tcW w:w="1364" w:type="dxa"/>
            <w:gridSpan w:val="3"/>
            <w:tcBorders>
              <w:top w:val="nil"/>
              <w:left w:val="single" w:sz="4" w:space="0" w:color="auto"/>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2023</w:t>
            </w:r>
          </w:p>
        </w:tc>
        <w:tc>
          <w:tcPr>
            <w:tcW w:w="1330" w:type="dxa"/>
            <w:gridSpan w:val="4"/>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1052</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17.02</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3905</w:t>
            </w:r>
          </w:p>
        </w:tc>
        <w:tc>
          <w:tcPr>
            <w:tcW w:w="1418" w:type="dxa"/>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1.53</w:t>
            </w:r>
          </w:p>
        </w:tc>
        <w:tc>
          <w:tcPr>
            <w:tcW w:w="1559" w:type="dxa"/>
            <w:gridSpan w:val="5"/>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4,957</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4.47</w:t>
            </w:r>
          </w:p>
        </w:tc>
        <w:tc>
          <w:tcPr>
            <w:tcW w:w="1559" w:type="dxa"/>
            <w:gridSpan w:val="4"/>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-2853</w:t>
            </w:r>
          </w:p>
        </w:tc>
      </w:tr>
      <w:tr w:rsidR="005831C3" w:rsidRPr="005831C3" w:rsidTr="00D57F0B">
        <w:trPr>
          <w:gridAfter w:val="1"/>
          <w:wAfter w:w="94" w:type="dxa"/>
          <w:trHeight w:val="315"/>
        </w:trPr>
        <w:tc>
          <w:tcPr>
            <w:tcW w:w="1364" w:type="dxa"/>
            <w:gridSpan w:val="3"/>
            <w:tcBorders>
              <w:top w:val="nil"/>
              <w:left w:val="single" w:sz="4" w:space="0" w:color="auto"/>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2024</w:t>
            </w:r>
          </w:p>
        </w:tc>
        <w:tc>
          <w:tcPr>
            <w:tcW w:w="1330" w:type="dxa"/>
            <w:gridSpan w:val="4"/>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1113</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5.80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3367</w:t>
            </w:r>
          </w:p>
        </w:tc>
        <w:tc>
          <w:tcPr>
            <w:tcW w:w="1418" w:type="dxa"/>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-13.78</w:t>
            </w:r>
          </w:p>
        </w:tc>
        <w:tc>
          <w:tcPr>
            <w:tcW w:w="1559" w:type="dxa"/>
            <w:gridSpan w:val="5"/>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4,480</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-9.62</w:t>
            </w:r>
          </w:p>
        </w:tc>
        <w:tc>
          <w:tcPr>
            <w:tcW w:w="1559" w:type="dxa"/>
            <w:gridSpan w:val="4"/>
            <w:tcBorders>
              <w:top w:val="nil"/>
              <w:left w:val="nil"/>
              <w:bottom w:val="single" w:sz="4" w:space="0" w:color="auto"/>
              <w:right w:val="single" w:sz="4" w:space="0" w:color="auto"/>
            </w:tcBorders>
            <w:shd w:val="clear" w:color="auto" w:fill="auto"/>
            <w:noWrap/>
            <w:vAlign w:val="center"/>
            <w:hideMark/>
          </w:tcPr>
          <w:p w:rsidR="005831C3" w:rsidRPr="005831C3" w:rsidRDefault="005831C3" w:rsidP="00D57F0B">
            <w:pPr>
              <w:spacing w:after="0" w:line="240" w:lineRule="auto"/>
              <w:jc w:val="center"/>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-2254</w:t>
            </w:r>
          </w:p>
        </w:tc>
      </w:tr>
      <w:tr w:rsidR="005831C3" w:rsidRPr="005831C3" w:rsidTr="00A12BA0">
        <w:trPr>
          <w:gridAfter w:val="1"/>
          <w:wAfter w:w="94" w:type="dxa"/>
          <w:trHeight w:val="315"/>
        </w:trPr>
        <w:tc>
          <w:tcPr>
            <w:tcW w:w="1364" w:type="dxa"/>
            <w:gridSpan w:val="3"/>
            <w:vMerge w:val="restart"/>
            <w:tcBorders>
              <w:top w:val="nil"/>
              <w:left w:val="nil"/>
              <w:right w:val="nil"/>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Annual</w:t>
            </w:r>
          </w:p>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Compound</w:t>
            </w:r>
          </w:p>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Pr>
                <w:rFonts w:ascii="Times New Roman" w:eastAsia="Times New Roman" w:hAnsi="Times New Roman" w:cs="Times New Roman"/>
                <w:b/>
                <w:bCs/>
                <w:sz w:val="24"/>
                <w:szCs w:val="24"/>
                <w:lang w:eastAsia="en-IN" w:bidi="bn-IN"/>
              </w:rPr>
              <w:t>Growth</w:t>
            </w:r>
            <w:r w:rsidR="00321A0B">
              <w:rPr>
                <w:rFonts w:ascii="Times New Roman" w:eastAsia="Times New Roman" w:hAnsi="Times New Roman" w:cs="Times New Roman"/>
                <w:b/>
                <w:bCs/>
                <w:sz w:val="24"/>
                <w:szCs w:val="24"/>
                <w:lang w:eastAsia="en-IN" w:bidi="bn-IN"/>
              </w:rPr>
              <w:t xml:space="preserve"> </w:t>
            </w:r>
            <w:r w:rsidRPr="005831C3">
              <w:rPr>
                <w:rFonts w:ascii="Times New Roman" w:eastAsia="Times New Roman" w:hAnsi="Times New Roman" w:cs="Times New Roman"/>
                <w:b/>
                <w:bCs/>
                <w:sz w:val="24"/>
                <w:szCs w:val="24"/>
                <w:lang w:eastAsia="en-IN" w:bidi="bn-IN"/>
              </w:rPr>
              <w:t>Rate</w:t>
            </w:r>
          </w:p>
        </w:tc>
        <w:tc>
          <w:tcPr>
            <w:tcW w:w="1330" w:type="dxa"/>
            <w:gridSpan w:val="4"/>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p>
        </w:tc>
        <w:tc>
          <w:tcPr>
            <w:tcW w:w="1418" w:type="dxa"/>
            <w:gridSpan w:val="2"/>
            <w:tcBorders>
              <w:top w:val="nil"/>
              <w:left w:val="nil"/>
              <w:bottom w:val="nil"/>
              <w:right w:val="nil"/>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sz w:val="24"/>
                <w:szCs w:val="24"/>
                <w:lang w:eastAsia="en-IN" w:bidi="bn-IN"/>
              </w:rPr>
            </w:pPr>
          </w:p>
        </w:tc>
        <w:tc>
          <w:tcPr>
            <w:tcW w:w="1275" w:type="dxa"/>
            <w:gridSpan w:val="2"/>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p>
        </w:tc>
        <w:tc>
          <w:tcPr>
            <w:tcW w:w="1418" w:type="dxa"/>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p>
        </w:tc>
        <w:tc>
          <w:tcPr>
            <w:tcW w:w="1559" w:type="dxa"/>
            <w:gridSpan w:val="5"/>
            <w:tcBorders>
              <w:top w:val="nil"/>
              <w:left w:val="nil"/>
              <w:bottom w:val="nil"/>
              <w:right w:val="nil"/>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sz w:val="24"/>
                <w:szCs w:val="24"/>
                <w:lang w:eastAsia="en-IN" w:bidi="bn-IN"/>
              </w:rPr>
            </w:pPr>
          </w:p>
        </w:tc>
        <w:tc>
          <w:tcPr>
            <w:tcW w:w="1701" w:type="dxa"/>
            <w:gridSpan w:val="2"/>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p>
        </w:tc>
        <w:tc>
          <w:tcPr>
            <w:tcW w:w="1559" w:type="dxa"/>
            <w:gridSpan w:val="4"/>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p>
        </w:tc>
      </w:tr>
      <w:tr w:rsidR="005831C3" w:rsidRPr="005831C3" w:rsidTr="00A12BA0">
        <w:trPr>
          <w:gridAfter w:val="1"/>
          <w:wAfter w:w="94" w:type="dxa"/>
          <w:trHeight w:val="315"/>
        </w:trPr>
        <w:tc>
          <w:tcPr>
            <w:tcW w:w="1364" w:type="dxa"/>
            <w:gridSpan w:val="3"/>
            <w:vMerge/>
            <w:tcBorders>
              <w:left w:val="nil"/>
              <w:right w:val="nil"/>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p>
        </w:tc>
        <w:tc>
          <w:tcPr>
            <w:tcW w:w="1330" w:type="dxa"/>
            <w:gridSpan w:val="4"/>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p>
        </w:tc>
        <w:tc>
          <w:tcPr>
            <w:tcW w:w="1418" w:type="dxa"/>
            <w:gridSpan w:val="2"/>
            <w:tcBorders>
              <w:top w:val="nil"/>
              <w:left w:val="nil"/>
              <w:bottom w:val="nil"/>
              <w:right w:val="nil"/>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sz w:val="24"/>
                <w:szCs w:val="24"/>
                <w:lang w:eastAsia="en-IN" w:bidi="bn-IN"/>
              </w:rPr>
            </w:pPr>
          </w:p>
        </w:tc>
        <w:tc>
          <w:tcPr>
            <w:tcW w:w="1275" w:type="dxa"/>
            <w:gridSpan w:val="2"/>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p>
        </w:tc>
        <w:tc>
          <w:tcPr>
            <w:tcW w:w="1418" w:type="dxa"/>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p>
        </w:tc>
        <w:tc>
          <w:tcPr>
            <w:tcW w:w="1559" w:type="dxa"/>
            <w:gridSpan w:val="5"/>
            <w:tcBorders>
              <w:top w:val="nil"/>
              <w:left w:val="nil"/>
              <w:bottom w:val="nil"/>
              <w:right w:val="nil"/>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sz w:val="24"/>
                <w:szCs w:val="24"/>
                <w:lang w:eastAsia="en-IN" w:bidi="bn-IN"/>
              </w:rPr>
            </w:pPr>
          </w:p>
        </w:tc>
        <w:tc>
          <w:tcPr>
            <w:tcW w:w="1701" w:type="dxa"/>
            <w:gridSpan w:val="2"/>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p>
        </w:tc>
        <w:tc>
          <w:tcPr>
            <w:tcW w:w="1559" w:type="dxa"/>
            <w:gridSpan w:val="4"/>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p>
        </w:tc>
      </w:tr>
      <w:tr w:rsidR="005831C3" w:rsidRPr="005831C3" w:rsidTr="00A12BA0">
        <w:trPr>
          <w:gridAfter w:val="1"/>
          <w:wAfter w:w="94" w:type="dxa"/>
          <w:trHeight w:val="230"/>
        </w:trPr>
        <w:tc>
          <w:tcPr>
            <w:tcW w:w="1364" w:type="dxa"/>
            <w:gridSpan w:val="3"/>
            <w:vMerge/>
            <w:tcBorders>
              <w:left w:val="nil"/>
              <w:bottom w:val="single" w:sz="4" w:space="0" w:color="auto"/>
              <w:right w:val="nil"/>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p>
        </w:tc>
        <w:tc>
          <w:tcPr>
            <w:tcW w:w="1330" w:type="dxa"/>
            <w:gridSpan w:val="4"/>
            <w:tcBorders>
              <w:top w:val="nil"/>
              <w:left w:val="nil"/>
              <w:bottom w:val="single" w:sz="4" w:space="0" w:color="auto"/>
              <w:right w:val="nil"/>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 </w:t>
            </w:r>
          </w:p>
        </w:tc>
        <w:tc>
          <w:tcPr>
            <w:tcW w:w="1418" w:type="dxa"/>
            <w:gridSpan w:val="2"/>
            <w:tcBorders>
              <w:top w:val="nil"/>
              <w:left w:val="nil"/>
              <w:bottom w:val="single" w:sz="4" w:space="0" w:color="auto"/>
              <w:right w:val="nil"/>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7.10</w:t>
            </w:r>
          </w:p>
        </w:tc>
        <w:tc>
          <w:tcPr>
            <w:tcW w:w="1275" w:type="dxa"/>
            <w:gridSpan w:val="2"/>
            <w:tcBorders>
              <w:top w:val="nil"/>
              <w:left w:val="nil"/>
              <w:bottom w:val="single" w:sz="4" w:space="0" w:color="auto"/>
              <w:right w:val="nil"/>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 </w:t>
            </w:r>
          </w:p>
        </w:tc>
        <w:tc>
          <w:tcPr>
            <w:tcW w:w="1418" w:type="dxa"/>
            <w:tcBorders>
              <w:top w:val="nil"/>
              <w:left w:val="nil"/>
              <w:bottom w:val="single" w:sz="4" w:space="0" w:color="auto"/>
              <w:right w:val="nil"/>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6.13</w:t>
            </w:r>
          </w:p>
        </w:tc>
        <w:tc>
          <w:tcPr>
            <w:tcW w:w="1559" w:type="dxa"/>
            <w:gridSpan w:val="5"/>
            <w:tcBorders>
              <w:top w:val="nil"/>
              <w:left w:val="nil"/>
              <w:bottom w:val="single" w:sz="4" w:space="0" w:color="auto"/>
              <w:right w:val="nil"/>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 </w:t>
            </w:r>
          </w:p>
        </w:tc>
        <w:tc>
          <w:tcPr>
            <w:tcW w:w="1701" w:type="dxa"/>
            <w:gridSpan w:val="2"/>
            <w:tcBorders>
              <w:top w:val="nil"/>
              <w:left w:val="nil"/>
              <w:bottom w:val="single" w:sz="4" w:space="0" w:color="auto"/>
              <w:right w:val="nil"/>
            </w:tcBorders>
            <w:shd w:val="clear" w:color="auto" w:fill="auto"/>
            <w:noWrap/>
            <w:vAlign w:val="bottom"/>
            <w:hideMark/>
          </w:tcPr>
          <w:p w:rsidR="005831C3" w:rsidRPr="005831C3" w:rsidRDefault="005831C3" w:rsidP="005831C3">
            <w:pPr>
              <w:spacing w:after="0" w:line="240" w:lineRule="auto"/>
              <w:jc w:val="center"/>
              <w:rPr>
                <w:rFonts w:ascii="Times New Roman" w:eastAsia="Times New Roman" w:hAnsi="Times New Roman" w:cs="Times New Roman"/>
                <w:b/>
                <w:bCs/>
                <w:sz w:val="24"/>
                <w:szCs w:val="24"/>
                <w:lang w:eastAsia="en-IN" w:bidi="bn-IN"/>
              </w:rPr>
            </w:pPr>
            <w:r w:rsidRPr="005831C3">
              <w:rPr>
                <w:rFonts w:ascii="Times New Roman" w:eastAsia="Times New Roman" w:hAnsi="Times New Roman" w:cs="Times New Roman"/>
                <w:b/>
                <w:bCs/>
                <w:sz w:val="24"/>
                <w:szCs w:val="24"/>
                <w:lang w:eastAsia="en-IN" w:bidi="bn-IN"/>
              </w:rPr>
              <w:t>6.37</w:t>
            </w:r>
          </w:p>
        </w:tc>
        <w:tc>
          <w:tcPr>
            <w:tcW w:w="1559" w:type="dxa"/>
            <w:gridSpan w:val="4"/>
            <w:tcBorders>
              <w:top w:val="nil"/>
              <w:left w:val="nil"/>
              <w:bottom w:val="single" w:sz="4" w:space="0" w:color="auto"/>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r w:rsidRPr="005831C3">
              <w:rPr>
                <w:rFonts w:ascii="Times New Roman" w:eastAsia="Times New Roman" w:hAnsi="Times New Roman" w:cs="Times New Roman"/>
                <w:sz w:val="24"/>
                <w:szCs w:val="24"/>
                <w:lang w:eastAsia="en-IN" w:bidi="bn-IN"/>
              </w:rPr>
              <w:t> </w:t>
            </w:r>
          </w:p>
        </w:tc>
      </w:tr>
      <w:tr w:rsidR="005831C3" w:rsidRPr="005831C3" w:rsidTr="00A12BA0">
        <w:trPr>
          <w:gridAfter w:val="1"/>
          <w:wAfter w:w="94" w:type="dxa"/>
          <w:trHeight w:val="70"/>
        </w:trPr>
        <w:tc>
          <w:tcPr>
            <w:tcW w:w="6805" w:type="dxa"/>
            <w:gridSpan w:val="12"/>
            <w:tcBorders>
              <w:top w:val="nil"/>
              <w:left w:val="nil"/>
              <w:bottom w:val="nil"/>
              <w:right w:val="nil"/>
            </w:tcBorders>
            <w:shd w:val="clear" w:color="auto" w:fill="auto"/>
            <w:noWrap/>
            <w:vAlign w:val="bottom"/>
            <w:hideMark/>
          </w:tcPr>
          <w:p w:rsidR="005831C3" w:rsidRPr="00321A0B" w:rsidRDefault="005831C3" w:rsidP="005831C3">
            <w:pPr>
              <w:spacing w:after="0" w:line="240" w:lineRule="auto"/>
              <w:rPr>
                <w:rFonts w:ascii="Times New Roman" w:eastAsia="Times New Roman" w:hAnsi="Times New Roman" w:cs="Times New Roman"/>
                <w:b/>
                <w:bCs/>
                <w:sz w:val="18"/>
                <w:szCs w:val="18"/>
                <w:lang w:eastAsia="en-IN" w:bidi="bn-IN"/>
              </w:rPr>
            </w:pPr>
            <w:r w:rsidRPr="00321A0B">
              <w:rPr>
                <w:rFonts w:ascii="Times New Roman" w:eastAsia="Times New Roman" w:hAnsi="Times New Roman" w:cs="Times New Roman"/>
                <w:b/>
                <w:bCs/>
                <w:sz w:val="18"/>
                <w:szCs w:val="18"/>
                <w:lang w:eastAsia="en-IN" w:bidi="bn-IN"/>
              </w:rPr>
              <w:t xml:space="preserve">          NOTE        </w:t>
            </w:r>
            <w:r w:rsidR="00321A0B">
              <w:rPr>
                <w:rFonts w:ascii="Times New Roman" w:eastAsia="Times New Roman" w:hAnsi="Times New Roman" w:cs="Times New Roman"/>
                <w:b/>
                <w:bCs/>
                <w:sz w:val="18"/>
                <w:szCs w:val="18"/>
                <w:lang w:eastAsia="en-IN" w:bidi="bn-IN"/>
              </w:rPr>
              <w:t xml:space="preserve">:   </w:t>
            </w:r>
            <w:r w:rsidRPr="00321A0B">
              <w:rPr>
                <w:rFonts w:ascii="Times New Roman" w:eastAsia="Times New Roman" w:hAnsi="Times New Roman" w:cs="Times New Roman"/>
                <w:b/>
                <w:bCs/>
                <w:sz w:val="18"/>
                <w:szCs w:val="18"/>
                <w:lang w:eastAsia="en-IN" w:bidi="bn-IN"/>
              </w:rPr>
              <w:t>Figures relate to calendar year (January to December)</w:t>
            </w:r>
          </w:p>
        </w:tc>
        <w:tc>
          <w:tcPr>
            <w:tcW w:w="1559" w:type="dxa"/>
            <w:gridSpan w:val="5"/>
            <w:tcBorders>
              <w:top w:val="nil"/>
              <w:left w:val="nil"/>
              <w:bottom w:val="nil"/>
              <w:right w:val="nil"/>
            </w:tcBorders>
            <w:shd w:val="clear" w:color="auto" w:fill="auto"/>
            <w:vAlign w:val="bottom"/>
            <w:hideMark/>
          </w:tcPr>
          <w:p w:rsidR="005831C3" w:rsidRPr="00321A0B" w:rsidRDefault="005831C3" w:rsidP="005831C3">
            <w:pPr>
              <w:spacing w:after="0" w:line="240" w:lineRule="auto"/>
              <w:rPr>
                <w:rFonts w:ascii="Times New Roman" w:eastAsia="Times New Roman" w:hAnsi="Times New Roman" w:cs="Times New Roman"/>
                <w:b/>
                <w:bCs/>
                <w:sz w:val="18"/>
                <w:szCs w:val="18"/>
                <w:lang w:eastAsia="en-IN" w:bidi="bn-IN"/>
              </w:rPr>
            </w:pPr>
          </w:p>
        </w:tc>
        <w:tc>
          <w:tcPr>
            <w:tcW w:w="1701" w:type="dxa"/>
            <w:gridSpan w:val="2"/>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p>
        </w:tc>
        <w:tc>
          <w:tcPr>
            <w:tcW w:w="1559" w:type="dxa"/>
            <w:gridSpan w:val="4"/>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Times New Roman" w:eastAsia="Times New Roman" w:hAnsi="Times New Roman" w:cs="Times New Roman"/>
                <w:sz w:val="24"/>
                <w:szCs w:val="24"/>
                <w:lang w:eastAsia="en-IN" w:bidi="bn-IN"/>
              </w:rPr>
            </w:pPr>
          </w:p>
        </w:tc>
      </w:tr>
      <w:tr w:rsidR="005831C3" w:rsidRPr="005831C3" w:rsidTr="00A12BA0">
        <w:trPr>
          <w:gridAfter w:val="1"/>
          <w:wAfter w:w="94" w:type="dxa"/>
          <w:trHeight w:val="80"/>
        </w:trPr>
        <w:tc>
          <w:tcPr>
            <w:tcW w:w="2499" w:type="dxa"/>
            <w:gridSpan w:val="5"/>
            <w:tcBorders>
              <w:top w:val="nil"/>
              <w:left w:val="nil"/>
              <w:bottom w:val="nil"/>
              <w:right w:val="nil"/>
            </w:tcBorders>
            <w:shd w:val="clear" w:color="auto" w:fill="auto"/>
            <w:noWrap/>
            <w:vAlign w:val="bottom"/>
            <w:hideMark/>
          </w:tcPr>
          <w:p w:rsidR="005831C3" w:rsidRPr="00321A0B" w:rsidRDefault="00321A0B" w:rsidP="00321A0B">
            <w:pPr>
              <w:spacing w:after="0" w:line="240" w:lineRule="auto"/>
              <w:rPr>
                <w:rFonts w:ascii="Times New Roman" w:eastAsia="Times New Roman" w:hAnsi="Times New Roman" w:cs="Times New Roman"/>
                <w:b/>
                <w:bCs/>
                <w:sz w:val="18"/>
                <w:szCs w:val="18"/>
                <w:lang w:eastAsia="en-IN" w:bidi="bn-IN"/>
              </w:rPr>
            </w:pPr>
            <w:r>
              <w:rPr>
                <w:rFonts w:ascii="Times New Roman" w:eastAsia="Times New Roman" w:hAnsi="Times New Roman" w:cs="Times New Roman"/>
                <w:b/>
                <w:bCs/>
                <w:sz w:val="18"/>
                <w:szCs w:val="18"/>
                <w:lang w:eastAsia="en-IN" w:bidi="bn-IN"/>
              </w:rPr>
              <w:t xml:space="preserve">          </w:t>
            </w:r>
            <w:r w:rsidR="005831C3" w:rsidRPr="00321A0B">
              <w:rPr>
                <w:rFonts w:ascii="Times New Roman" w:eastAsia="Times New Roman" w:hAnsi="Times New Roman" w:cs="Times New Roman"/>
                <w:b/>
                <w:bCs/>
                <w:sz w:val="18"/>
                <w:szCs w:val="18"/>
                <w:lang w:eastAsia="en-IN" w:bidi="bn-IN"/>
              </w:rPr>
              <w:t xml:space="preserve">SOURCE   :   </w:t>
            </w:r>
          </w:p>
        </w:tc>
        <w:tc>
          <w:tcPr>
            <w:tcW w:w="4728" w:type="dxa"/>
            <w:gridSpan w:val="9"/>
            <w:tcBorders>
              <w:top w:val="nil"/>
              <w:left w:val="nil"/>
              <w:bottom w:val="nil"/>
              <w:right w:val="nil"/>
            </w:tcBorders>
            <w:shd w:val="clear" w:color="auto" w:fill="auto"/>
            <w:noWrap/>
            <w:vAlign w:val="bottom"/>
            <w:hideMark/>
          </w:tcPr>
          <w:p w:rsidR="005831C3" w:rsidRPr="00321A0B" w:rsidRDefault="005831C3" w:rsidP="00321A0B">
            <w:pPr>
              <w:spacing w:after="0" w:line="240" w:lineRule="auto"/>
              <w:rPr>
                <w:rFonts w:ascii="Times New Roman" w:eastAsia="Times New Roman" w:hAnsi="Times New Roman" w:cs="Times New Roman"/>
                <w:b/>
                <w:bCs/>
                <w:sz w:val="18"/>
                <w:szCs w:val="18"/>
                <w:lang w:eastAsia="en-IN" w:bidi="bn-IN"/>
              </w:rPr>
            </w:pPr>
            <w:r w:rsidRPr="00321A0B">
              <w:rPr>
                <w:rFonts w:ascii="Times New Roman" w:eastAsia="Times New Roman" w:hAnsi="Times New Roman" w:cs="Times New Roman"/>
                <w:b/>
                <w:bCs/>
                <w:sz w:val="18"/>
                <w:szCs w:val="18"/>
                <w:lang w:eastAsia="en-IN" w:bidi="bn-IN"/>
              </w:rPr>
              <w:t xml:space="preserve">UN COMTRADE PUBLICATION </w:t>
            </w:r>
          </w:p>
        </w:tc>
        <w:tc>
          <w:tcPr>
            <w:tcW w:w="236" w:type="dxa"/>
            <w:tcBorders>
              <w:top w:val="nil"/>
              <w:left w:val="nil"/>
              <w:bottom w:val="nil"/>
              <w:right w:val="nil"/>
            </w:tcBorders>
            <w:shd w:val="clear" w:color="auto" w:fill="auto"/>
            <w:noWrap/>
            <w:vAlign w:val="bottom"/>
            <w:hideMark/>
          </w:tcPr>
          <w:p w:rsidR="005831C3" w:rsidRPr="005831C3" w:rsidRDefault="005831C3" w:rsidP="005831C3">
            <w:pPr>
              <w:spacing w:after="0" w:line="240" w:lineRule="auto"/>
              <w:jc w:val="center"/>
              <w:rPr>
                <w:rFonts w:ascii="Arial" w:eastAsia="Times New Roman" w:hAnsi="Arial" w:cs="Arial"/>
                <w:b/>
                <w:bCs/>
                <w:sz w:val="20"/>
                <w:szCs w:val="20"/>
                <w:lang w:eastAsia="en-IN" w:bidi="bn-IN"/>
              </w:rPr>
            </w:pPr>
          </w:p>
        </w:tc>
        <w:tc>
          <w:tcPr>
            <w:tcW w:w="901" w:type="dxa"/>
            <w:gridSpan w:val="2"/>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Arial" w:eastAsia="Times New Roman" w:hAnsi="Arial" w:cs="Arial"/>
                <w:sz w:val="20"/>
                <w:szCs w:val="20"/>
                <w:lang w:eastAsia="en-IN" w:bidi="bn-IN"/>
              </w:rPr>
            </w:pPr>
          </w:p>
        </w:tc>
        <w:tc>
          <w:tcPr>
            <w:tcW w:w="1701" w:type="dxa"/>
            <w:gridSpan w:val="2"/>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Arial" w:eastAsia="Times New Roman" w:hAnsi="Arial" w:cs="Arial"/>
                <w:sz w:val="20"/>
                <w:szCs w:val="20"/>
                <w:lang w:eastAsia="en-IN" w:bidi="bn-IN"/>
              </w:rPr>
            </w:pPr>
          </w:p>
        </w:tc>
        <w:tc>
          <w:tcPr>
            <w:tcW w:w="1559" w:type="dxa"/>
            <w:gridSpan w:val="4"/>
            <w:tcBorders>
              <w:top w:val="nil"/>
              <w:left w:val="nil"/>
              <w:bottom w:val="nil"/>
              <w:right w:val="nil"/>
            </w:tcBorders>
            <w:shd w:val="clear" w:color="auto" w:fill="auto"/>
            <w:noWrap/>
            <w:vAlign w:val="bottom"/>
            <w:hideMark/>
          </w:tcPr>
          <w:p w:rsidR="005831C3" w:rsidRPr="005831C3" w:rsidRDefault="005831C3" w:rsidP="005831C3">
            <w:pPr>
              <w:spacing w:after="0" w:line="240" w:lineRule="auto"/>
              <w:rPr>
                <w:rFonts w:ascii="Arial" w:eastAsia="Times New Roman" w:hAnsi="Arial" w:cs="Arial"/>
                <w:sz w:val="20"/>
                <w:szCs w:val="20"/>
                <w:lang w:eastAsia="en-IN" w:bidi="bn-IN"/>
              </w:rPr>
            </w:pPr>
          </w:p>
        </w:tc>
      </w:tr>
    </w:tbl>
    <w:p w:rsidR="00C87688" w:rsidRDefault="00C87688" w:rsidP="00DE4175">
      <w:pPr>
        <w:spacing w:after="0" w:line="240" w:lineRule="auto"/>
        <w:rPr>
          <w:rFonts w:ascii="Times New Roman" w:eastAsia="Times New Roman" w:hAnsi="Times New Roman" w:cs="Times New Roman"/>
          <w:b/>
          <w:bCs/>
          <w:color w:val="365F91" w:themeColor="accent1" w:themeShade="BF"/>
          <w:sz w:val="24"/>
          <w:szCs w:val="24"/>
          <w:lang w:eastAsia="en-IN" w:bidi="bn-IN"/>
        </w:rPr>
      </w:pPr>
    </w:p>
    <w:p w:rsidR="00990634" w:rsidRPr="003167BB" w:rsidRDefault="00990634" w:rsidP="00990634">
      <w:pPr>
        <w:spacing w:after="0" w:line="240" w:lineRule="auto"/>
        <w:jc w:val="center"/>
        <w:rPr>
          <w:rFonts w:ascii="Times New Roman" w:eastAsia="Times New Roman" w:hAnsi="Times New Roman" w:cs="Times New Roman"/>
          <w:b/>
          <w:bCs/>
          <w:color w:val="365F91" w:themeColor="accent1" w:themeShade="BF"/>
          <w:sz w:val="24"/>
          <w:szCs w:val="24"/>
          <w:lang w:eastAsia="en-IN" w:bidi="bn-IN"/>
        </w:rPr>
      </w:pPr>
      <w:r w:rsidRPr="003167BB">
        <w:rPr>
          <w:rFonts w:ascii="Times New Roman" w:eastAsia="Times New Roman" w:hAnsi="Times New Roman" w:cs="Times New Roman"/>
          <w:b/>
          <w:bCs/>
          <w:color w:val="365F91" w:themeColor="accent1" w:themeShade="BF"/>
          <w:sz w:val="24"/>
          <w:szCs w:val="24"/>
          <w:lang w:eastAsia="en-IN" w:bidi="bn-IN"/>
        </w:rPr>
        <w:t>Figure - 1</w:t>
      </w:r>
    </w:p>
    <w:p w:rsidR="005B768E" w:rsidRDefault="00A12BA0" w:rsidP="00990634">
      <w:pPr>
        <w:pStyle w:val="BodyText"/>
        <w:ind w:left="284"/>
        <w:jc w:val="left"/>
        <w:rPr>
          <w:b/>
          <w:bCs/>
          <w:szCs w:val="24"/>
        </w:rPr>
      </w:pPr>
      <w:r w:rsidRPr="00A12BA0">
        <w:rPr>
          <w:b/>
          <w:bCs/>
          <w:noProof/>
          <w:szCs w:val="24"/>
          <w:lang w:val="en-IN" w:eastAsia="en-IN" w:bidi="bn-IN"/>
        </w:rPr>
        <w:drawing>
          <wp:inline distT="0" distB="0" distL="0" distR="0">
            <wp:extent cx="6638925" cy="2609850"/>
            <wp:effectExtent l="19050" t="0" r="9525"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B768E" w:rsidRDefault="005B768E" w:rsidP="009E4AB8">
      <w:pPr>
        <w:pStyle w:val="BodyText"/>
        <w:ind w:left="284"/>
        <w:rPr>
          <w:b/>
          <w:bCs/>
          <w:szCs w:val="24"/>
        </w:rPr>
      </w:pPr>
    </w:p>
    <w:p w:rsidR="005B768E" w:rsidRDefault="005B768E" w:rsidP="009E4AB8">
      <w:pPr>
        <w:pStyle w:val="BodyText"/>
        <w:ind w:left="284"/>
        <w:rPr>
          <w:b/>
          <w:bCs/>
          <w:szCs w:val="24"/>
        </w:rPr>
      </w:pPr>
    </w:p>
    <w:p w:rsidR="005B768E" w:rsidRDefault="005B768E" w:rsidP="009E4AB8">
      <w:pPr>
        <w:pStyle w:val="BodyText"/>
        <w:ind w:left="284"/>
        <w:rPr>
          <w:b/>
          <w:bCs/>
          <w:szCs w:val="24"/>
        </w:rPr>
      </w:pPr>
    </w:p>
    <w:p w:rsidR="005B768E" w:rsidRDefault="005B768E" w:rsidP="009E4AB8">
      <w:pPr>
        <w:pStyle w:val="BodyText"/>
        <w:ind w:left="284"/>
        <w:rPr>
          <w:b/>
          <w:bCs/>
          <w:szCs w:val="24"/>
        </w:rPr>
      </w:pPr>
    </w:p>
    <w:p w:rsidR="005B768E" w:rsidRPr="00990936" w:rsidRDefault="005B768E" w:rsidP="009E4AB8">
      <w:pPr>
        <w:pStyle w:val="BodyText"/>
        <w:ind w:left="284"/>
        <w:rPr>
          <w:b/>
          <w:bCs/>
          <w:szCs w:val="24"/>
        </w:rPr>
      </w:pPr>
    </w:p>
    <w:p w:rsidR="004D0C31" w:rsidRDefault="009E4AB8" w:rsidP="00D711C4">
      <w:pPr>
        <w:pStyle w:val="BodyText"/>
        <w:rPr>
          <w:b/>
          <w:bCs/>
          <w:szCs w:val="24"/>
        </w:rPr>
      </w:pPr>
      <w:r w:rsidRPr="00990936">
        <w:rPr>
          <w:b/>
          <w:bCs/>
          <w:szCs w:val="24"/>
        </w:rPr>
        <w:t xml:space="preserve"> </w:t>
      </w:r>
      <w:bookmarkStart w:id="0" w:name="RANGE!A2:I23"/>
      <w:bookmarkEnd w:id="0"/>
    </w:p>
    <w:p w:rsidR="00C87688" w:rsidRDefault="00C87688" w:rsidP="00D711C4">
      <w:pPr>
        <w:pStyle w:val="BodyText"/>
        <w:rPr>
          <w:b/>
          <w:color w:val="00B050"/>
          <w:szCs w:val="24"/>
        </w:rPr>
      </w:pPr>
    </w:p>
    <w:p w:rsidR="009E4AB8" w:rsidRPr="004D0C31" w:rsidRDefault="009E4AB8" w:rsidP="00D711C4">
      <w:pPr>
        <w:pStyle w:val="BodyText"/>
        <w:rPr>
          <w:b/>
          <w:bCs/>
          <w:szCs w:val="24"/>
        </w:rPr>
      </w:pPr>
      <w:r w:rsidRPr="00990936">
        <w:rPr>
          <w:b/>
          <w:color w:val="00B050"/>
          <w:szCs w:val="24"/>
        </w:rPr>
        <w:t>BILATERAL TRADE WITH INDIA</w:t>
      </w:r>
    </w:p>
    <w:p w:rsidR="00DE4175" w:rsidRDefault="00DE4175" w:rsidP="00D711C4">
      <w:pPr>
        <w:pStyle w:val="BodyText"/>
        <w:rPr>
          <w:b/>
          <w:color w:val="E36C0A" w:themeColor="accent6" w:themeShade="BF"/>
          <w:szCs w:val="24"/>
          <w:u w:val="single"/>
        </w:rPr>
      </w:pPr>
    </w:p>
    <w:p w:rsidR="009E4AB8" w:rsidRPr="00616F39" w:rsidRDefault="009E4AB8" w:rsidP="00D711C4">
      <w:pPr>
        <w:pStyle w:val="BodyText"/>
        <w:rPr>
          <w:b/>
          <w:color w:val="E36C0A" w:themeColor="accent6" w:themeShade="BF"/>
          <w:szCs w:val="24"/>
          <w:u w:val="single"/>
        </w:rPr>
      </w:pPr>
      <w:r w:rsidRPr="00616F39">
        <w:rPr>
          <w:b/>
          <w:color w:val="E36C0A" w:themeColor="accent6" w:themeShade="BF"/>
          <w:szCs w:val="24"/>
          <w:u w:val="single"/>
        </w:rPr>
        <w:t>Merchandise Trade</w:t>
      </w:r>
    </w:p>
    <w:p w:rsidR="009E4AB8" w:rsidRPr="00990936" w:rsidRDefault="009E4AB8" w:rsidP="009E4AB8">
      <w:pPr>
        <w:pStyle w:val="BodyText"/>
        <w:ind w:left="284" w:firstLine="720"/>
        <w:rPr>
          <w:b/>
          <w:szCs w:val="24"/>
        </w:rPr>
      </w:pPr>
    </w:p>
    <w:p w:rsidR="00D168D7" w:rsidRPr="001E01E7" w:rsidRDefault="009E4AB8" w:rsidP="00303582">
      <w:pPr>
        <w:tabs>
          <w:tab w:val="left" w:pos="567"/>
        </w:tabs>
        <w:spacing w:after="0" w:line="240" w:lineRule="auto"/>
        <w:jc w:val="both"/>
        <w:rPr>
          <w:rFonts w:ascii="Times New Roman" w:hAnsi="Times New Roman" w:cs="Times New Roman"/>
          <w:sz w:val="24"/>
          <w:szCs w:val="24"/>
        </w:rPr>
      </w:pPr>
      <w:r w:rsidRPr="001E01E7">
        <w:rPr>
          <w:rFonts w:ascii="Times New Roman" w:hAnsi="Times New Roman" w:cs="Times New Roman"/>
          <w:sz w:val="24"/>
          <w:szCs w:val="24"/>
        </w:rPr>
        <w:t>7.</w:t>
      </w:r>
      <w:r w:rsidRPr="001E01E7">
        <w:rPr>
          <w:rFonts w:ascii="Times New Roman" w:hAnsi="Times New Roman" w:cs="Times New Roman"/>
          <w:sz w:val="24"/>
          <w:szCs w:val="24"/>
        </w:rPr>
        <w:tab/>
      </w:r>
      <w:r w:rsidR="00EB30A8" w:rsidRPr="001E01E7">
        <w:rPr>
          <w:rFonts w:ascii="Times New Roman" w:hAnsi="Times New Roman" w:cs="Times New Roman"/>
          <w:sz w:val="24"/>
          <w:szCs w:val="24"/>
        </w:rPr>
        <w:t xml:space="preserve">During FY 2024–25, India’s merchandise trade with BENIN recorded a significant improvement in overall trade activity, as reflected in </w:t>
      </w:r>
      <w:r w:rsidR="00EB30A8" w:rsidRPr="001E01E7">
        <w:rPr>
          <w:rStyle w:val="Strong"/>
          <w:rFonts w:ascii="Times New Roman" w:hAnsi="Times New Roman" w:cs="Times New Roman"/>
          <w:sz w:val="24"/>
          <w:szCs w:val="24"/>
        </w:rPr>
        <w:t>Table 3 and Figure 2</w:t>
      </w:r>
      <w:r w:rsidR="00EB30A8" w:rsidRPr="001E01E7">
        <w:rPr>
          <w:rFonts w:ascii="Times New Roman" w:hAnsi="Times New Roman" w:cs="Times New Roman"/>
          <w:sz w:val="24"/>
          <w:szCs w:val="24"/>
        </w:rPr>
        <w:t xml:space="preserve">. India’s exports to BENIN increased sharply from </w:t>
      </w:r>
      <w:r w:rsidR="00EB30A8" w:rsidRPr="001E01E7">
        <w:rPr>
          <w:rStyle w:val="Strong"/>
          <w:rFonts w:ascii="Times New Roman" w:hAnsi="Times New Roman" w:cs="Times New Roman"/>
          <w:sz w:val="24"/>
          <w:szCs w:val="24"/>
        </w:rPr>
        <w:t>US$ 752.55 million in FY 2023–24 to US$ 1,194.98 million in FY 2024–25</w:t>
      </w:r>
      <w:r w:rsidR="00EB30A8" w:rsidRPr="001E01E7">
        <w:rPr>
          <w:rFonts w:ascii="Times New Roman" w:hAnsi="Times New Roman" w:cs="Times New Roman"/>
          <w:sz w:val="24"/>
          <w:szCs w:val="24"/>
        </w:rPr>
        <w:t xml:space="preserve">, registering a substantial year-on-year growth of </w:t>
      </w:r>
      <w:r w:rsidR="00EB30A8" w:rsidRPr="001E01E7">
        <w:rPr>
          <w:rStyle w:val="Strong"/>
          <w:rFonts w:ascii="Times New Roman" w:hAnsi="Times New Roman" w:cs="Times New Roman"/>
          <w:sz w:val="24"/>
          <w:szCs w:val="24"/>
        </w:rPr>
        <w:t>58.79%</w:t>
      </w:r>
      <w:r w:rsidR="00EB30A8" w:rsidRPr="001E01E7">
        <w:rPr>
          <w:rFonts w:ascii="Times New Roman" w:hAnsi="Times New Roman" w:cs="Times New Roman"/>
          <w:sz w:val="24"/>
          <w:szCs w:val="24"/>
        </w:rPr>
        <w:t xml:space="preserve">. This represented the highest annual export value recorded during the five-year period under review and marked a strong recovery from the decline observed in FY 2023–24. In contrast, India’s imports from BENIN declined further from </w:t>
      </w:r>
      <w:r w:rsidR="00EB30A8" w:rsidRPr="001E01E7">
        <w:rPr>
          <w:rStyle w:val="Strong"/>
          <w:rFonts w:ascii="Times New Roman" w:hAnsi="Times New Roman" w:cs="Times New Roman"/>
          <w:sz w:val="24"/>
          <w:szCs w:val="24"/>
        </w:rPr>
        <w:t>US$ 214.57 million in FY 2023–24 to US$ 130.51 million in FY 2024–25</w:t>
      </w:r>
      <w:r w:rsidR="00EB30A8" w:rsidRPr="001E01E7">
        <w:rPr>
          <w:rFonts w:ascii="Times New Roman" w:hAnsi="Times New Roman" w:cs="Times New Roman"/>
          <w:sz w:val="24"/>
          <w:szCs w:val="24"/>
        </w:rPr>
        <w:t xml:space="preserve">, representing a contraction of </w:t>
      </w:r>
      <w:r w:rsidR="00EB30A8" w:rsidRPr="001E01E7">
        <w:rPr>
          <w:rStyle w:val="Strong"/>
          <w:rFonts w:ascii="Times New Roman" w:hAnsi="Times New Roman" w:cs="Times New Roman"/>
          <w:sz w:val="24"/>
          <w:szCs w:val="24"/>
        </w:rPr>
        <w:t>39.18%</w:t>
      </w:r>
      <w:r w:rsidR="00EB30A8" w:rsidRPr="001E01E7">
        <w:rPr>
          <w:rFonts w:ascii="Times New Roman" w:hAnsi="Times New Roman" w:cs="Times New Roman"/>
          <w:sz w:val="24"/>
          <w:szCs w:val="24"/>
        </w:rPr>
        <w:t xml:space="preserve">. As a result of the sharp rise in exports and the simultaneous decline in imports, India’s total bilateral merchandise trade increased from </w:t>
      </w:r>
      <w:r w:rsidR="00EB30A8" w:rsidRPr="001E01E7">
        <w:rPr>
          <w:rStyle w:val="Strong"/>
          <w:rFonts w:ascii="Times New Roman" w:hAnsi="Times New Roman" w:cs="Times New Roman"/>
          <w:sz w:val="24"/>
          <w:szCs w:val="24"/>
        </w:rPr>
        <w:t>US$ 967.12 million in FY 2023–24 to US$ 1,325.49 million in FY 2024–25</w:t>
      </w:r>
      <w:r w:rsidR="00EB30A8" w:rsidRPr="001E01E7">
        <w:rPr>
          <w:rFonts w:ascii="Times New Roman" w:hAnsi="Times New Roman" w:cs="Times New Roman"/>
          <w:sz w:val="24"/>
          <w:szCs w:val="24"/>
        </w:rPr>
        <w:t xml:space="preserve">, registering a growth of </w:t>
      </w:r>
      <w:r w:rsidR="00EB30A8" w:rsidRPr="001E01E7">
        <w:rPr>
          <w:rStyle w:val="Strong"/>
          <w:rFonts w:ascii="Times New Roman" w:hAnsi="Times New Roman" w:cs="Times New Roman"/>
          <w:sz w:val="24"/>
          <w:szCs w:val="24"/>
        </w:rPr>
        <w:t>37.06%</w:t>
      </w:r>
      <w:r w:rsidR="00EB30A8" w:rsidRPr="001E01E7">
        <w:rPr>
          <w:rFonts w:ascii="Times New Roman" w:hAnsi="Times New Roman" w:cs="Times New Roman"/>
          <w:sz w:val="24"/>
          <w:szCs w:val="24"/>
        </w:rPr>
        <w:t xml:space="preserve">. The movement of the three major indicators—exports, imports and trade balance—is clearly visible in Figure 2, where India’s export line rises sharply in FY 2024–25, while imports move downward. Consequently, India’s merchandise trade surplus with BENIN expanded substantially from </w:t>
      </w:r>
      <w:r w:rsidR="00EB30A8" w:rsidRPr="001E01E7">
        <w:rPr>
          <w:rStyle w:val="Strong"/>
          <w:rFonts w:ascii="Times New Roman" w:hAnsi="Times New Roman" w:cs="Times New Roman"/>
          <w:sz w:val="24"/>
          <w:szCs w:val="24"/>
        </w:rPr>
        <w:t>US$ 537.98 million in FY 2023–24 to US$ 1,064.47 million in FY 2024–25</w:t>
      </w:r>
      <w:r w:rsidR="00EB30A8" w:rsidRPr="001E01E7">
        <w:rPr>
          <w:rFonts w:ascii="Times New Roman" w:hAnsi="Times New Roman" w:cs="Times New Roman"/>
          <w:sz w:val="24"/>
          <w:szCs w:val="24"/>
        </w:rPr>
        <w:t xml:space="preserve">, an increase of approximately </w:t>
      </w:r>
      <w:r w:rsidR="00EB30A8" w:rsidRPr="001E01E7">
        <w:rPr>
          <w:rStyle w:val="Strong"/>
          <w:rFonts w:ascii="Times New Roman" w:hAnsi="Times New Roman" w:cs="Times New Roman"/>
          <w:sz w:val="24"/>
          <w:szCs w:val="24"/>
        </w:rPr>
        <w:t>US$ 526.49 million</w:t>
      </w:r>
      <w:r w:rsidR="00EB30A8" w:rsidRPr="001E01E7">
        <w:rPr>
          <w:rFonts w:ascii="Times New Roman" w:hAnsi="Times New Roman" w:cs="Times New Roman"/>
          <w:sz w:val="24"/>
          <w:szCs w:val="24"/>
        </w:rPr>
        <w:t xml:space="preserve"> in absolute terms. The trade surplus in FY 2024–25 was therefore almost twice the level recorded in the preceding year. The data demonstrate that the improvement in bilateral trade during FY 2024–25 was primarily </w:t>
      </w:r>
      <w:r w:rsidR="00EB30A8" w:rsidRPr="001E01E7">
        <w:rPr>
          <w:rStyle w:val="Strong"/>
          <w:rFonts w:ascii="Times New Roman" w:hAnsi="Times New Roman" w:cs="Times New Roman"/>
          <w:sz w:val="24"/>
          <w:szCs w:val="24"/>
        </w:rPr>
        <w:t>export-led</w:t>
      </w:r>
      <w:r w:rsidR="00EB30A8" w:rsidRPr="001E01E7">
        <w:rPr>
          <w:rFonts w:ascii="Times New Roman" w:hAnsi="Times New Roman" w:cs="Times New Roman"/>
          <w:sz w:val="24"/>
          <w:szCs w:val="24"/>
        </w:rPr>
        <w:t>, rather than being driven by balanced growth in both exports and imports. Furthermore, the export value in FY 2024–25 was more than one-and-a-half times the import value, highlighting the strong asymmetry in bilateral merchandise trade in India’s favour. Thus, Table 3 and Figure 2 indicate that FY 2024–25 represented a particularly strong year for India’s export performance in the BENIN market, with the sharp expansion in exports more than offsetting the contraction in imports and resulting in a substantially strengthened trade surplus.</w:t>
      </w:r>
    </w:p>
    <w:p w:rsidR="00DE4175" w:rsidRDefault="009E4AB8" w:rsidP="00303582">
      <w:pPr>
        <w:pStyle w:val="NormalWeb"/>
        <w:tabs>
          <w:tab w:val="left" w:pos="567"/>
        </w:tabs>
        <w:jc w:val="both"/>
      </w:pPr>
      <w:r w:rsidRPr="001E01E7">
        <w:t xml:space="preserve"> </w:t>
      </w:r>
    </w:p>
    <w:p w:rsidR="00DE4175" w:rsidRDefault="00DE4175" w:rsidP="00303582">
      <w:pPr>
        <w:pStyle w:val="NormalWeb"/>
        <w:tabs>
          <w:tab w:val="left" w:pos="567"/>
        </w:tabs>
        <w:jc w:val="both"/>
      </w:pPr>
    </w:p>
    <w:p w:rsidR="009E4AB8" w:rsidRPr="001E01E7" w:rsidRDefault="00B063EC" w:rsidP="00303582">
      <w:pPr>
        <w:pStyle w:val="NormalWeb"/>
        <w:tabs>
          <w:tab w:val="left" w:pos="567"/>
        </w:tabs>
        <w:jc w:val="both"/>
      </w:pPr>
      <w:r w:rsidRPr="001E01E7">
        <w:lastRenderedPageBreak/>
        <w:t xml:space="preserve">8.     </w:t>
      </w:r>
      <w:r w:rsidR="00EB30A8" w:rsidRPr="001E01E7">
        <w:t xml:space="preserve">Over the five-year period from </w:t>
      </w:r>
      <w:r w:rsidR="00EB30A8" w:rsidRPr="001E01E7">
        <w:rPr>
          <w:rStyle w:val="Strong"/>
        </w:rPr>
        <w:t>FY 2020–21 to FY 2024–25</w:t>
      </w:r>
      <w:r w:rsidR="00EB30A8" w:rsidRPr="001E01E7">
        <w:t xml:space="preserve">, India’s bilateral merchandise trade with BENIN exhibited an overall upward trajectory, although the movement was marked by considerable year-to-year fluctuations. According to </w:t>
      </w:r>
      <w:r w:rsidR="00EB30A8" w:rsidRPr="001E01E7">
        <w:rPr>
          <w:rStyle w:val="Strong"/>
        </w:rPr>
        <w:t>Table 3</w:t>
      </w:r>
      <w:r w:rsidR="00EB30A8" w:rsidRPr="001E01E7">
        <w:t xml:space="preserve">, total bilateral trade increased from </w:t>
      </w:r>
      <w:r w:rsidR="00EB30A8" w:rsidRPr="001E01E7">
        <w:rPr>
          <w:rStyle w:val="Strong"/>
        </w:rPr>
        <w:t>US$ 881.17 million in FY 2020–21 to US$ 1,325.49 million in FY 2024–25</w:t>
      </w:r>
      <w:r w:rsidR="00EB30A8" w:rsidRPr="001E01E7">
        <w:t xml:space="preserve">, representing an overall increase of approximately </w:t>
      </w:r>
      <w:r w:rsidR="00EB30A8" w:rsidRPr="001E01E7">
        <w:rPr>
          <w:rStyle w:val="Strong"/>
        </w:rPr>
        <w:t>US$ 444.32 million</w:t>
      </w:r>
      <w:r w:rsidR="00EB30A8" w:rsidRPr="001E01E7">
        <w:t xml:space="preserve">, or about </w:t>
      </w:r>
      <w:r w:rsidR="00EB30A8" w:rsidRPr="001E01E7">
        <w:rPr>
          <w:rStyle w:val="Strong"/>
        </w:rPr>
        <w:t>50.42%</w:t>
      </w:r>
      <w:r w:rsidR="00EB30A8" w:rsidRPr="001E01E7">
        <w:t xml:space="preserve">, over the period. The bilateral trade volume recorded an </w:t>
      </w:r>
      <w:r w:rsidR="00EB30A8" w:rsidRPr="001E01E7">
        <w:rPr>
          <w:rStyle w:val="Strong"/>
        </w:rPr>
        <w:t>Annual Compound Growth Rate (ACGR) of 10.75%</w:t>
      </w:r>
      <w:r w:rsidR="00EB30A8" w:rsidRPr="001E01E7">
        <w:t xml:space="preserve">, indicating a positive medium-term expansion in commercial exchanges between the two countries. The growth in total bilateral trade was driven overwhelmingly by the performance of India’s exports to BENIN. India’s exports increased from </w:t>
      </w:r>
      <w:r w:rsidR="00EB30A8" w:rsidRPr="001E01E7">
        <w:rPr>
          <w:rStyle w:val="Strong"/>
        </w:rPr>
        <w:t>US$ 555.20 million in FY 2020–21 to US$ 1,194.98 million in FY 2024–25</w:t>
      </w:r>
      <w:r w:rsidR="00EB30A8" w:rsidRPr="001E01E7">
        <w:t xml:space="preserve">, representing an increase of approximately </w:t>
      </w:r>
      <w:r w:rsidR="00EB30A8" w:rsidRPr="001E01E7">
        <w:rPr>
          <w:rStyle w:val="Strong"/>
        </w:rPr>
        <w:t>115.23%</w:t>
      </w:r>
      <w:r w:rsidR="00EB30A8" w:rsidRPr="001E01E7">
        <w:t xml:space="preserve"> over the five-year period and an ACGR of </w:t>
      </w:r>
      <w:r w:rsidR="00EB30A8" w:rsidRPr="001E01E7">
        <w:rPr>
          <w:rStyle w:val="Strong"/>
        </w:rPr>
        <w:t>21.12%</w:t>
      </w:r>
      <w:r w:rsidR="00EB30A8" w:rsidRPr="001E01E7">
        <w:t xml:space="preserve">. Export performance remained positive in the first three years, with exports rising from US$ 555.20 million in FY 2020–21 to US$ 716.41 million in FY 2021–22 and further to </w:t>
      </w:r>
      <w:r w:rsidR="00EB30A8" w:rsidRPr="001E01E7">
        <w:rPr>
          <w:rStyle w:val="Strong"/>
        </w:rPr>
        <w:t>US$ 892.81 million in FY 2022–23</w:t>
      </w:r>
      <w:r w:rsidR="00EB30A8" w:rsidRPr="001E01E7">
        <w:t xml:space="preserve">. The export trend, however, reversed in FY 2023–24, when exports declined by </w:t>
      </w:r>
      <w:r w:rsidR="00EB30A8" w:rsidRPr="001E01E7">
        <w:rPr>
          <w:rStyle w:val="Strong"/>
        </w:rPr>
        <w:t>15.71%</w:t>
      </w:r>
      <w:r w:rsidR="00EB30A8" w:rsidRPr="001E01E7">
        <w:t xml:space="preserve"> to US$ 752.55 million. This decline proved temporary, as exports subsequently recorded a remarkable recovery of </w:t>
      </w:r>
      <w:r w:rsidR="00EB30A8" w:rsidRPr="001E01E7">
        <w:rPr>
          <w:rStyle w:val="Strong"/>
        </w:rPr>
        <w:t>58.79% in FY 2024–25</w:t>
      </w:r>
      <w:r w:rsidR="00EB30A8" w:rsidRPr="001E01E7">
        <w:t xml:space="preserve">, reaching their highest level of the entire period at US$ 1,194.98 million. In contrast, India’s imports from BENIN followed a substantially different pattern. Imports increased from </w:t>
      </w:r>
      <w:r w:rsidR="00EB30A8" w:rsidRPr="001E01E7">
        <w:rPr>
          <w:rStyle w:val="Strong"/>
        </w:rPr>
        <w:t>US$ 325.97 million in FY 2020–21 to US$ 452.58 million in FY 2022–23</w:t>
      </w:r>
      <w:r w:rsidR="00EB30A8" w:rsidRPr="001E01E7">
        <w:t xml:space="preserve">, but subsequently declined sharply to </w:t>
      </w:r>
      <w:r w:rsidR="00EB30A8" w:rsidRPr="001E01E7">
        <w:rPr>
          <w:rStyle w:val="Strong"/>
        </w:rPr>
        <w:t>US$ 214.57 million in FY 2023–24</w:t>
      </w:r>
      <w:r w:rsidR="00EB30A8" w:rsidRPr="001E01E7">
        <w:t xml:space="preserve"> and further to </w:t>
      </w:r>
      <w:r w:rsidR="00EB30A8" w:rsidRPr="001E01E7">
        <w:rPr>
          <w:rStyle w:val="Strong"/>
        </w:rPr>
        <w:t>US$ 130.51 million in FY 2024–25</w:t>
      </w:r>
      <w:r w:rsidR="00EB30A8" w:rsidRPr="001E01E7">
        <w:t xml:space="preserve">. Over the entire period, imports declined by approximately </w:t>
      </w:r>
      <w:r w:rsidR="00EB30A8" w:rsidRPr="001E01E7">
        <w:rPr>
          <w:rStyle w:val="Strong"/>
        </w:rPr>
        <w:t>59.96%</w:t>
      </w:r>
      <w:r w:rsidR="00EB30A8" w:rsidRPr="001E01E7">
        <w:t xml:space="preserve">, corresponding to a negative ACGR of </w:t>
      </w:r>
      <w:r w:rsidR="00EB30A8" w:rsidRPr="001E01E7">
        <w:rPr>
          <w:rStyle w:val="Strong"/>
        </w:rPr>
        <w:t>20.45%</w:t>
      </w:r>
      <w:r w:rsidR="00EB30A8" w:rsidRPr="001E01E7">
        <w:t xml:space="preserve">. Therefore, while India’s exports expanded strongly, imports contracted considerably, resulting in a widening trade surplus in India’s favour. This contrasting movement between exports and imports is particularly evident in </w:t>
      </w:r>
      <w:r w:rsidR="00EB30A8" w:rsidRPr="001E01E7">
        <w:rPr>
          <w:rStyle w:val="Strong"/>
        </w:rPr>
        <w:t>Figure 2</w:t>
      </w:r>
      <w:r w:rsidR="00EB30A8" w:rsidRPr="001E01E7">
        <w:t xml:space="preserve">, where the export series generally moves upward and reaches a pronounced peak in FY 2024–25, whereas the import series declines sharply after FY 2022–23. The overall trade volume also reflects these fluctuations: it increased from </w:t>
      </w:r>
      <w:r w:rsidR="00EB30A8" w:rsidRPr="001E01E7">
        <w:rPr>
          <w:rStyle w:val="Strong"/>
        </w:rPr>
        <w:t>US$ 881.17 million in FY 2020–21 to US$ 1,118.53 million in FY 2021–22 and US$ 1,345.39 million in FY 2022–23</w:t>
      </w:r>
      <w:r w:rsidR="00EB30A8" w:rsidRPr="001E01E7">
        <w:t xml:space="preserve">, before declining to US$ 967.12 million in FY 2023–24 and recovering to US$ 1,325.49 million in FY 2024–25. Despite the temporary decline in FY 2023–24, the recovery in FY 2024–25 brought bilateral trade close to its FY 2022–23 </w:t>
      </w:r>
      <w:proofErr w:type="gramStart"/>
      <w:r w:rsidR="00EB30A8" w:rsidRPr="001E01E7">
        <w:t>peak</w:t>
      </w:r>
      <w:proofErr w:type="gramEnd"/>
      <w:r w:rsidR="00EB30A8" w:rsidRPr="001E01E7">
        <w:t xml:space="preserve">. Overall, the five-year data indicate that India-BENIN merchandise trade has expanded in value terms, but its composition has become increasingly dominated by Indian exports. The </w:t>
      </w:r>
      <w:r w:rsidR="00EB30A8" w:rsidRPr="001E01E7">
        <w:rPr>
          <w:rStyle w:val="Strong"/>
        </w:rPr>
        <w:t>10.75% ACGR in total bilateral trade</w:t>
      </w:r>
      <w:r w:rsidR="00EB30A8" w:rsidRPr="001E01E7">
        <w:t xml:space="preserve">, together with the substantially higher </w:t>
      </w:r>
      <w:r w:rsidR="00EB30A8" w:rsidRPr="001E01E7">
        <w:rPr>
          <w:rStyle w:val="Strong"/>
        </w:rPr>
        <w:t>21.12% ACGR in exports</w:t>
      </w:r>
      <w:r w:rsidR="00EB30A8" w:rsidRPr="001E01E7">
        <w:t xml:space="preserve"> and the negative </w:t>
      </w:r>
      <w:r w:rsidR="00EB30A8" w:rsidRPr="001E01E7">
        <w:rPr>
          <w:rStyle w:val="Strong"/>
        </w:rPr>
        <w:t>20.45% ACGR in imports</w:t>
      </w:r>
      <w:r w:rsidR="00EB30A8" w:rsidRPr="001E01E7">
        <w:t>, demonstrates that the expansion of bilateral commercial relations has been largely supported by India's growing export presence in the BENIN market rather than by a corresponding increase in imports from BENIN.</w:t>
      </w:r>
      <w:r w:rsidR="009E4AB8" w:rsidRPr="001E01E7">
        <w:t xml:space="preserve">  </w:t>
      </w:r>
    </w:p>
    <w:p w:rsidR="009E4AB8" w:rsidRPr="00303582" w:rsidRDefault="009E4AB8" w:rsidP="00303582">
      <w:pPr>
        <w:tabs>
          <w:tab w:val="left" w:pos="567"/>
        </w:tabs>
        <w:spacing w:line="240" w:lineRule="auto"/>
        <w:jc w:val="both"/>
        <w:rPr>
          <w:rFonts w:ascii="Times New Roman" w:hAnsi="Times New Roman" w:cs="Times New Roman"/>
          <w:i/>
          <w:sz w:val="24"/>
          <w:szCs w:val="24"/>
        </w:rPr>
      </w:pPr>
      <w:r w:rsidRPr="001E01E7">
        <w:rPr>
          <w:rFonts w:ascii="Times New Roman" w:hAnsi="Times New Roman" w:cs="Times New Roman"/>
          <w:bCs/>
          <w:sz w:val="24"/>
          <w:szCs w:val="24"/>
        </w:rPr>
        <w:t>9.</w:t>
      </w:r>
      <w:r w:rsidRPr="001E01E7">
        <w:rPr>
          <w:rFonts w:ascii="Times New Roman" w:hAnsi="Times New Roman" w:cs="Times New Roman"/>
          <w:bCs/>
          <w:sz w:val="24"/>
          <w:szCs w:val="24"/>
        </w:rPr>
        <w:tab/>
      </w:r>
      <w:r w:rsidR="00EB30A8" w:rsidRPr="001E01E7">
        <w:rPr>
          <w:rFonts w:ascii="Times New Roman" w:hAnsi="Times New Roman" w:cs="Times New Roman"/>
          <w:sz w:val="24"/>
          <w:szCs w:val="24"/>
        </w:rPr>
        <w:t xml:space="preserve">India maintained a </w:t>
      </w:r>
      <w:r w:rsidR="00EB30A8" w:rsidRPr="001E01E7">
        <w:rPr>
          <w:rStyle w:val="Strong"/>
          <w:rFonts w:ascii="Times New Roman" w:hAnsi="Times New Roman" w:cs="Times New Roman"/>
          <w:sz w:val="24"/>
          <w:szCs w:val="24"/>
        </w:rPr>
        <w:t>merchandise trade surplus with BENIN in every financial year from FY 2020–21 to FY 2024–25</w:t>
      </w:r>
      <w:r w:rsidR="00EB30A8" w:rsidRPr="001E01E7">
        <w:rPr>
          <w:rFonts w:ascii="Times New Roman" w:hAnsi="Times New Roman" w:cs="Times New Roman"/>
          <w:sz w:val="24"/>
          <w:szCs w:val="24"/>
        </w:rPr>
        <w:t xml:space="preserve">, and the magnitude of this surplus increased substantially over the period, as clearly demonstrated by </w:t>
      </w:r>
      <w:r w:rsidR="00EB30A8" w:rsidRPr="001E01E7">
        <w:rPr>
          <w:rStyle w:val="Strong"/>
          <w:rFonts w:ascii="Times New Roman" w:hAnsi="Times New Roman" w:cs="Times New Roman"/>
          <w:sz w:val="24"/>
          <w:szCs w:val="24"/>
        </w:rPr>
        <w:t>Table 3 and Figure 2</w:t>
      </w:r>
      <w:r w:rsidR="00EB30A8" w:rsidRPr="001E01E7">
        <w:rPr>
          <w:rFonts w:ascii="Times New Roman" w:hAnsi="Times New Roman" w:cs="Times New Roman"/>
          <w:sz w:val="24"/>
          <w:szCs w:val="24"/>
        </w:rPr>
        <w:t xml:space="preserve">. The trade surplus increased from </w:t>
      </w:r>
      <w:r w:rsidR="00EB30A8" w:rsidRPr="001E01E7">
        <w:rPr>
          <w:rStyle w:val="Strong"/>
          <w:rFonts w:ascii="Times New Roman" w:hAnsi="Times New Roman" w:cs="Times New Roman"/>
          <w:sz w:val="24"/>
          <w:szCs w:val="24"/>
        </w:rPr>
        <w:t>US$ 229.23 million in FY 2020–21 to US$ 314.29 million in FY 2021–22</w:t>
      </w:r>
      <w:r w:rsidR="00EB30A8" w:rsidRPr="001E01E7">
        <w:rPr>
          <w:rFonts w:ascii="Times New Roman" w:hAnsi="Times New Roman" w:cs="Times New Roman"/>
          <w:sz w:val="24"/>
          <w:szCs w:val="24"/>
        </w:rPr>
        <w:t xml:space="preserve">, and further to </w:t>
      </w:r>
      <w:r w:rsidR="00EB30A8" w:rsidRPr="001E01E7">
        <w:rPr>
          <w:rStyle w:val="Strong"/>
          <w:rFonts w:ascii="Times New Roman" w:hAnsi="Times New Roman" w:cs="Times New Roman"/>
          <w:sz w:val="24"/>
          <w:szCs w:val="24"/>
        </w:rPr>
        <w:t>US$ 440.23 million in FY 2022–23</w:t>
      </w:r>
      <w:r w:rsidR="00EB30A8" w:rsidRPr="001E01E7">
        <w:rPr>
          <w:rFonts w:ascii="Times New Roman" w:hAnsi="Times New Roman" w:cs="Times New Roman"/>
          <w:sz w:val="24"/>
          <w:szCs w:val="24"/>
        </w:rPr>
        <w:t xml:space="preserve">. It then expanded significantly to </w:t>
      </w:r>
      <w:r w:rsidR="00EB30A8" w:rsidRPr="001E01E7">
        <w:rPr>
          <w:rStyle w:val="Strong"/>
          <w:rFonts w:ascii="Times New Roman" w:hAnsi="Times New Roman" w:cs="Times New Roman"/>
          <w:sz w:val="24"/>
          <w:szCs w:val="24"/>
        </w:rPr>
        <w:t>US$ 537.98 million in FY 2023–24</w:t>
      </w:r>
      <w:r w:rsidR="00EB30A8" w:rsidRPr="001E01E7">
        <w:rPr>
          <w:rFonts w:ascii="Times New Roman" w:hAnsi="Times New Roman" w:cs="Times New Roman"/>
          <w:sz w:val="24"/>
          <w:szCs w:val="24"/>
        </w:rPr>
        <w:t xml:space="preserve">, before rising sharply to </w:t>
      </w:r>
      <w:r w:rsidR="00EB30A8" w:rsidRPr="001E01E7">
        <w:rPr>
          <w:rStyle w:val="Strong"/>
          <w:rFonts w:ascii="Times New Roman" w:hAnsi="Times New Roman" w:cs="Times New Roman"/>
          <w:sz w:val="24"/>
          <w:szCs w:val="24"/>
        </w:rPr>
        <w:t>US$ 1,064.47 million in FY 2024–25</w:t>
      </w:r>
      <w:r w:rsidR="00EB30A8" w:rsidRPr="001E01E7">
        <w:rPr>
          <w:rFonts w:ascii="Times New Roman" w:hAnsi="Times New Roman" w:cs="Times New Roman"/>
          <w:sz w:val="24"/>
          <w:szCs w:val="24"/>
        </w:rPr>
        <w:t xml:space="preserve">. Thus, over the five-year period, India’s merchandise trade surplus with BENIN increased by approximately </w:t>
      </w:r>
      <w:r w:rsidR="00EB30A8" w:rsidRPr="001E01E7">
        <w:rPr>
          <w:rStyle w:val="Strong"/>
          <w:rFonts w:ascii="Times New Roman" w:hAnsi="Times New Roman" w:cs="Times New Roman"/>
          <w:sz w:val="24"/>
          <w:szCs w:val="24"/>
        </w:rPr>
        <w:t>US$ 835.24 million</w:t>
      </w:r>
      <w:r w:rsidR="00EB30A8" w:rsidRPr="001E01E7">
        <w:rPr>
          <w:rFonts w:ascii="Times New Roman" w:hAnsi="Times New Roman" w:cs="Times New Roman"/>
          <w:sz w:val="24"/>
          <w:szCs w:val="24"/>
        </w:rPr>
        <w:t xml:space="preserve">, representing a substantial strengthening of India’s trade position. The widening surplus was primarily associated with the strong growth of India’s exports and the declining value of imports from BENIN. India’s exports increased substantially over the period, notwithstanding the temporary decline in FY 2023–24. Starting at </w:t>
      </w:r>
      <w:r w:rsidR="00EB30A8" w:rsidRPr="001E01E7">
        <w:rPr>
          <w:rStyle w:val="Strong"/>
          <w:rFonts w:ascii="Times New Roman" w:hAnsi="Times New Roman" w:cs="Times New Roman"/>
          <w:sz w:val="24"/>
          <w:szCs w:val="24"/>
        </w:rPr>
        <w:t>US$ 555.20 million in FY 2020–21</w:t>
      </w:r>
      <w:r w:rsidR="00EB30A8" w:rsidRPr="001E01E7">
        <w:rPr>
          <w:rFonts w:ascii="Times New Roman" w:hAnsi="Times New Roman" w:cs="Times New Roman"/>
          <w:sz w:val="24"/>
          <w:szCs w:val="24"/>
        </w:rPr>
        <w:t xml:space="preserve">, exports rose by </w:t>
      </w:r>
      <w:r w:rsidR="00EB30A8" w:rsidRPr="001E01E7">
        <w:rPr>
          <w:rStyle w:val="Strong"/>
          <w:rFonts w:ascii="Times New Roman" w:hAnsi="Times New Roman" w:cs="Times New Roman"/>
          <w:sz w:val="24"/>
          <w:szCs w:val="24"/>
        </w:rPr>
        <w:t>29.04%</w:t>
      </w:r>
      <w:r w:rsidR="00EB30A8" w:rsidRPr="001E01E7">
        <w:rPr>
          <w:rFonts w:ascii="Times New Roman" w:hAnsi="Times New Roman" w:cs="Times New Roman"/>
          <w:sz w:val="24"/>
          <w:szCs w:val="24"/>
        </w:rPr>
        <w:t xml:space="preserve"> to US$ 716.41 million in FY 2021–22 and by a further </w:t>
      </w:r>
      <w:r w:rsidR="00EB30A8" w:rsidRPr="001E01E7">
        <w:rPr>
          <w:rStyle w:val="Strong"/>
          <w:rFonts w:ascii="Times New Roman" w:hAnsi="Times New Roman" w:cs="Times New Roman"/>
          <w:sz w:val="24"/>
          <w:szCs w:val="24"/>
        </w:rPr>
        <w:t>24.62%</w:t>
      </w:r>
      <w:r w:rsidR="00EB30A8" w:rsidRPr="001E01E7">
        <w:rPr>
          <w:rFonts w:ascii="Times New Roman" w:hAnsi="Times New Roman" w:cs="Times New Roman"/>
          <w:sz w:val="24"/>
          <w:szCs w:val="24"/>
        </w:rPr>
        <w:t xml:space="preserve"> to US$ 892.81 million in FY 2022–23. Although exports subsequently declined by </w:t>
      </w:r>
      <w:r w:rsidR="00EB30A8" w:rsidRPr="001E01E7">
        <w:rPr>
          <w:rStyle w:val="Strong"/>
          <w:rFonts w:ascii="Times New Roman" w:hAnsi="Times New Roman" w:cs="Times New Roman"/>
          <w:sz w:val="24"/>
          <w:szCs w:val="24"/>
        </w:rPr>
        <w:t>15.71%</w:t>
      </w:r>
      <w:r w:rsidR="00EB30A8" w:rsidRPr="001E01E7">
        <w:rPr>
          <w:rFonts w:ascii="Times New Roman" w:hAnsi="Times New Roman" w:cs="Times New Roman"/>
          <w:sz w:val="24"/>
          <w:szCs w:val="24"/>
        </w:rPr>
        <w:t xml:space="preserve"> to US$ 752.55 million in FY 2023–24, they recovered strongly in FY 2024–25, increasing by </w:t>
      </w:r>
      <w:r w:rsidR="00EB30A8" w:rsidRPr="001E01E7">
        <w:rPr>
          <w:rStyle w:val="Strong"/>
          <w:rFonts w:ascii="Times New Roman" w:hAnsi="Times New Roman" w:cs="Times New Roman"/>
          <w:sz w:val="24"/>
          <w:szCs w:val="24"/>
        </w:rPr>
        <w:t>58.79%</w:t>
      </w:r>
      <w:r w:rsidR="00EB30A8" w:rsidRPr="001E01E7">
        <w:rPr>
          <w:rFonts w:ascii="Times New Roman" w:hAnsi="Times New Roman" w:cs="Times New Roman"/>
          <w:sz w:val="24"/>
          <w:szCs w:val="24"/>
        </w:rPr>
        <w:t xml:space="preserve"> to a record </w:t>
      </w:r>
      <w:r w:rsidR="00EB30A8" w:rsidRPr="001E01E7">
        <w:rPr>
          <w:rStyle w:val="Strong"/>
          <w:rFonts w:ascii="Times New Roman" w:hAnsi="Times New Roman" w:cs="Times New Roman"/>
          <w:sz w:val="24"/>
          <w:szCs w:val="24"/>
        </w:rPr>
        <w:t>US$ 1,194.98 million</w:t>
      </w:r>
      <w:r w:rsidR="00EB30A8" w:rsidRPr="001E01E7">
        <w:rPr>
          <w:rFonts w:ascii="Times New Roman" w:hAnsi="Times New Roman" w:cs="Times New Roman"/>
          <w:sz w:val="24"/>
          <w:szCs w:val="24"/>
        </w:rPr>
        <w:t xml:space="preserve">. This strong recovery was the most significant annual movement in India’s exports during the period and was a major factor behind the sharp expansion of the trade surplus. On the import side, India’s purchases from BENIN increased during the first three years, from </w:t>
      </w:r>
      <w:r w:rsidR="00EB30A8" w:rsidRPr="001E01E7">
        <w:rPr>
          <w:rStyle w:val="Strong"/>
          <w:rFonts w:ascii="Times New Roman" w:hAnsi="Times New Roman" w:cs="Times New Roman"/>
          <w:sz w:val="24"/>
          <w:szCs w:val="24"/>
        </w:rPr>
        <w:t>US$ 325.97 million in FY 2020–21 to US$ 402.12 million in FY 2021–22 and US$ 452.58 million in FY 2022–23</w:t>
      </w:r>
      <w:r w:rsidR="00EB30A8" w:rsidRPr="001E01E7">
        <w:rPr>
          <w:rFonts w:ascii="Times New Roman" w:hAnsi="Times New Roman" w:cs="Times New Roman"/>
          <w:sz w:val="24"/>
          <w:szCs w:val="24"/>
        </w:rPr>
        <w:t xml:space="preserve">. However, imports subsequently contracted substantially, falling by </w:t>
      </w:r>
      <w:r w:rsidR="00EB30A8" w:rsidRPr="001E01E7">
        <w:rPr>
          <w:rStyle w:val="Strong"/>
          <w:rFonts w:ascii="Times New Roman" w:hAnsi="Times New Roman" w:cs="Times New Roman"/>
          <w:sz w:val="24"/>
          <w:szCs w:val="24"/>
        </w:rPr>
        <w:t>52.59%</w:t>
      </w:r>
      <w:r w:rsidR="00EB30A8" w:rsidRPr="001E01E7">
        <w:rPr>
          <w:rFonts w:ascii="Times New Roman" w:hAnsi="Times New Roman" w:cs="Times New Roman"/>
          <w:sz w:val="24"/>
          <w:szCs w:val="24"/>
        </w:rPr>
        <w:t xml:space="preserve"> to US$ 214.57 million in FY 2023–24 and by another </w:t>
      </w:r>
      <w:r w:rsidR="00EB30A8" w:rsidRPr="001E01E7">
        <w:rPr>
          <w:rStyle w:val="Strong"/>
          <w:rFonts w:ascii="Times New Roman" w:hAnsi="Times New Roman" w:cs="Times New Roman"/>
          <w:sz w:val="24"/>
          <w:szCs w:val="24"/>
        </w:rPr>
        <w:t>39.18%</w:t>
      </w:r>
      <w:r w:rsidR="00EB30A8" w:rsidRPr="001E01E7">
        <w:rPr>
          <w:rFonts w:ascii="Times New Roman" w:hAnsi="Times New Roman" w:cs="Times New Roman"/>
          <w:sz w:val="24"/>
          <w:szCs w:val="24"/>
        </w:rPr>
        <w:t xml:space="preserve"> to US$ 130.51 million in FY 2024–25. The sustained decline in imports during the last two years resulted in a pronounced widening of India’s trade surplus. Figure 2 visually reinforces this development: the distance between the export and import series becomes particularly large in FY 2024–25, while the trade balance reaches its highest positive level of the entire period. The figure therefore demonstrates not merely an increase in exports, but a structural </w:t>
      </w:r>
      <w:r w:rsidR="00EB30A8" w:rsidRPr="001E01E7">
        <w:rPr>
          <w:rFonts w:ascii="Times New Roman" w:hAnsi="Times New Roman" w:cs="Times New Roman"/>
          <w:sz w:val="24"/>
          <w:szCs w:val="24"/>
        </w:rPr>
        <w:lastRenderedPageBreak/>
        <w:t xml:space="preserve">widening of the difference between India’s exports to and imports from BENIN. Another important feature emerging from Table 3 is the contrasting growth performance of exports and imports. While exports registered a strong positive </w:t>
      </w:r>
      <w:r w:rsidR="00EB30A8" w:rsidRPr="001E01E7">
        <w:rPr>
          <w:rStyle w:val="Strong"/>
          <w:rFonts w:ascii="Times New Roman" w:hAnsi="Times New Roman" w:cs="Times New Roman"/>
          <w:sz w:val="24"/>
          <w:szCs w:val="24"/>
        </w:rPr>
        <w:t>ACGR of 21.12%</w:t>
      </w:r>
      <w:r w:rsidR="00EB30A8" w:rsidRPr="001E01E7">
        <w:rPr>
          <w:rFonts w:ascii="Times New Roman" w:hAnsi="Times New Roman" w:cs="Times New Roman"/>
          <w:sz w:val="24"/>
          <w:szCs w:val="24"/>
        </w:rPr>
        <w:t xml:space="preserve">, imports recorded a negative </w:t>
      </w:r>
      <w:r w:rsidR="00EB30A8" w:rsidRPr="001E01E7">
        <w:rPr>
          <w:rStyle w:val="Strong"/>
          <w:rFonts w:ascii="Times New Roman" w:hAnsi="Times New Roman" w:cs="Times New Roman"/>
          <w:sz w:val="24"/>
          <w:szCs w:val="24"/>
        </w:rPr>
        <w:t>ACGR of 20.45%</w:t>
      </w:r>
      <w:r w:rsidR="00EB30A8" w:rsidRPr="001E01E7">
        <w:rPr>
          <w:rFonts w:ascii="Times New Roman" w:hAnsi="Times New Roman" w:cs="Times New Roman"/>
          <w:sz w:val="24"/>
          <w:szCs w:val="24"/>
        </w:rPr>
        <w:t xml:space="preserve">. Consequently, the bilateral trade balance shifted progressively in India’s favour. The increase in total trade to </w:t>
      </w:r>
      <w:r w:rsidR="00EB30A8" w:rsidRPr="001E01E7">
        <w:rPr>
          <w:rStyle w:val="Strong"/>
          <w:rFonts w:ascii="Times New Roman" w:hAnsi="Times New Roman" w:cs="Times New Roman"/>
          <w:sz w:val="24"/>
          <w:szCs w:val="24"/>
        </w:rPr>
        <w:t>US$ 1,325.49 million in FY 2024–25</w:t>
      </w:r>
      <w:r w:rsidR="00EB30A8" w:rsidRPr="001E01E7">
        <w:rPr>
          <w:rFonts w:ascii="Times New Roman" w:hAnsi="Times New Roman" w:cs="Times New Roman"/>
          <w:sz w:val="24"/>
          <w:szCs w:val="24"/>
        </w:rPr>
        <w:t xml:space="preserve">, despite the substantial decline in imports, indicates that the expansion of bilateral commercial activity was almost entirely attributable to the strong increase in Indian exports. Therefore, the data presented in Table 3 and Figure 2 </w:t>
      </w:r>
      <w:proofErr w:type="gramStart"/>
      <w:r w:rsidR="00EB30A8" w:rsidRPr="001E01E7">
        <w:rPr>
          <w:rFonts w:ascii="Times New Roman" w:hAnsi="Times New Roman" w:cs="Times New Roman"/>
          <w:sz w:val="24"/>
          <w:szCs w:val="24"/>
        </w:rPr>
        <w:t>suggest</w:t>
      </w:r>
      <w:proofErr w:type="gramEnd"/>
      <w:r w:rsidR="00EB30A8" w:rsidRPr="001E01E7">
        <w:rPr>
          <w:rFonts w:ascii="Times New Roman" w:hAnsi="Times New Roman" w:cs="Times New Roman"/>
          <w:sz w:val="24"/>
          <w:szCs w:val="24"/>
        </w:rPr>
        <w:t xml:space="preserve"> that </w:t>
      </w:r>
      <w:r w:rsidR="00EB30A8" w:rsidRPr="001E01E7">
        <w:rPr>
          <w:rStyle w:val="Strong"/>
          <w:rFonts w:ascii="Times New Roman" w:hAnsi="Times New Roman" w:cs="Times New Roman"/>
          <w:sz w:val="24"/>
          <w:szCs w:val="24"/>
        </w:rPr>
        <w:t>India’s commercial engagement with BENIN has become increasingly export-oriented</w:t>
      </w:r>
      <w:r w:rsidR="00EB30A8" w:rsidRPr="001E01E7">
        <w:rPr>
          <w:rFonts w:ascii="Times New Roman" w:hAnsi="Times New Roman" w:cs="Times New Roman"/>
          <w:sz w:val="24"/>
          <w:szCs w:val="24"/>
        </w:rPr>
        <w:t xml:space="preserve">, with Indian products accounting for a progressively larger share of bilateral merchandise trade. At the same time, the persistent and widening trade surplus indicates considerable scope for examining opportunities to diversify and strengthen imports from BENIN, particularly in areas where the country possesses export potential. Nevertheless, based strictly on the data presented in Table 3 and Figure 2, the principal conclusion is that </w:t>
      </w:r>
      <w:r w:rsidR="00EB30A8" w:rsidRPr="001E01E7">
        <w:rPr>
          <w:rStyle w:val="Strong"/>
          <w:rFonts w:ascii="Times New Roman" w:hAnsi="Times New Roman" w:cs="Times New Roman"/>
          <w:sz w:val="24"/>
          <w:szCs w:val="24"/>
        </w:rPr>
        <w:t>India’s merchandise trade position with BENIN strengthened considerably during FY 2020–21 to FY 2024–25</w:t>
      </w:r>
      <w:r w:rsidR="00EB30A8" w:rsidRPr="001E01E7">
        <w:rPr>
          <w:rFonts w:ascii="Times New Roman" w:hAnsi="Times New Roman" w:cs="Times New Roman"/>
          <w:sz w:val="24"/>
          <w:szCs w:val="24"/>
        </w:rPr>
        <w:t>, supported by strong long-term export growth, a substantial recovery in exports in FY 2024–25, and a marked reduction in imports during the latter part of the period.</w:t>
      </w:r>
    </w:p>
    <w:p w:rsidR="009E4AB8" w:rsidRPr="00821BC3" w:rsidRDefault="009E4AB8" w:rsidP="009E4AB8">
      <w:pPr>
        <w:pStyle w:val="BodyText"/>
        <w:rPr>
          <w:b/>
          <w:color w:val="943634" w:themeColor="accent2" w:themeShade="BF"/>
          <w:szCs w:val="24"/>
        </w:rPr>
      </w:pPr>
      <w:r w:rsidRPr="00821BC3">
        <w:rPr>
          <w:b/>
          <w:color w:val="943634" w:themeColor="accent2" w:themeShade="BF"/>
          <w:szCs w:val="24"/>
        </w:rPr>
        <w:t xml:space="preserve">A snapshot of India’s merchandise trade statistics w.r.t. </w:t>
      </w:r>
      <w:r w:rsidR="00A44803">
        <w:rPr>
          <w:b/>
          <w:color w:val="943634" w:themeColor="accent2" w:themeShade="BF"/>
          <w:szCs w:val="24"/>
        </w:rPr>
        <w:t>BENIN</w:t>
      </w:r>
      <w:r w:rsidRPr="00821BC3">
        <w:rPr>
          <w:b/>
          <w:color w:val="943634" w:themeColor="accent2" w:themeShade="BF"/>
          <w:szCs w:val="24"/>
        </w:rPr>
        <w:t xml:space="preserve"> is presented in Table 3</w:t>
      </w:r>
      <w:r w:rsidR="0044470F" w:rsidRPr="00821BC3">
        <w:rPr>
          <w:b/>
          <w:color w:val="943634" w:themeColor="accent2" w:themeShade="BF"/>
          <w:szCs w:val="24"/>
        </w:rPr>
        <w:t xml:space="preserve"> &amp;</w:t>
      </w:r>
      <w:r w:rsidRPr="00821BC3">
        <w:rPr>
          <w:b/>
          <w:color w:val="943634" w:themeColor="accent2" w:themeShade="BF"/>
          <w:szCs w:val="24"/>
        </w:rPr>
        <w:t xml:space="preserve"> Figure 2.</w:t>
      </w:r>
    </w:p>
    <w:tbl>
      <w:tblPr>
        <w:tblW w:w="11362" w:type="dxa"/>
        <w:tblInd w:w="-34" w:type="dxa"/>
        <w:tblLook w:val="04A0"/>
      </w:tblPr>
      <w:tblGrid>
        <w:gridCol w:w="709"/>
        <w:gridCol w:w="709"/>
        <w:gridCol w:w="1418"/>
        <w:gridCol w:w="141"/>
        <w:gridCol w:w="425"/>
        <w:gridCol w:w="993"/>
        <w:gridCol w:w="1417"/>
        <w:gridCol w:w="567"/>
        <w:gridCol w:w="851"/>
        <w:gridCol w:w="665"/>
        <w:gridCol w:w="752"/>
        <w:gridCol w:w="851"/>
        <w:gridCol w:w="567"/>
        <w:gridCol w:w="850"/>
        <w:gridCol w:w="447"/>
      </w:tblGrid>
      <w:tr w:rsidR="009D4783" w:rsidRPr="009D4783" w:rsidTr="00C87688">
        <w:trPr>
          <w:gridAfter w:val="1"/>
          <w:wAfter w:w="447" w:type="dxa"/>
          <w:trHeight w:val="375"/>
        </w:trPr>
        <w:tc>
          <w:tcPr>
            <w:tcW w:w="709" w:type="dxa"/>
            <w:tcBorders>
              <w:top w:val="nil"/>
              <w:left w:val="nil"/>
              <w:bottom w:val="nil"/>
              <w:right w:val="nil"/>
            </w:tcBorders>
            <w:shd w:val="clear" w:color="auto" w:fill="auto"/>
            <w:noWrap/>
            <w:vAlign w:val="bottom"/>
            <w:hideMark/>
          </w:tcPr>
          <w:p w:rsidR="009D4783" w:rsidRPr="009D4783" w:rsidRDefault="009D4783" w:rsidP="009D4783">
            <w:pPr>
              <w:spacing w:after="0" w:line="240" w:lineRule="auto"/>
              <w:rPr>
                <w:rFonts w:ascii="Times New Roman" w:eastAsia="Times New Roman" w:hAnsi="Times New Roman" w:cs="Times New Roman"/>
                <w:sz w:val="24"/>
                <w:szCs w:val="24"/>
                <w:lang w:eastAsia="en-IN" w:bidi="bn-IN"/>
              </w:rPr>
            </w:pPr>
          </w:p>
        </w:tc>
        <w:tc>
          <w:tcPr>
            <w:tcW w:w="2268" w:type="dxa"/>
            <w:gridSpan w:val="3"/>
            <w:tcBorders>
              <w:top w:val="nil"/>
              <w:left w:val="nil"/>
              <w:bottom w:val="nil"/>
              <w:right w:val="nil"/>
            </w:tcBorders>
            <w:shd w:val="clear" w:color="auto" w:fill="auto"/>
            <w:noWrap/>
            <w:vAlign w:val="bottom"/>
            <w:hideMark/>
          </w:tcPr>
          <w:p w:rsidR="009D4783" w:rsidRPr="009D4783" w:rsidRDefault="009D4783" w:rsidP="009D4783">
            <w:pPr>
              <w:spacing w:after="0" w:line="240" w:lineRule="auto"/>
              <w:rPr>
                <w:rFonts w:ascii="Times New Roman" w:eastAsia="Times New Roman" w:hAnsi="Times New Roman" w:cs="Times New Roman"/>
                <w:sz w:val="24"/>
                <w:szCs w:val="24"/>
                <w:lang w:eastAsia="en-IN" w:bidi="bn-IN"/>
              </w:rPr>
            </w:pPr>
          </w:p>
        </w:tc>
        <w:tc>
          <w:tcPr>
            <w:tcW w:w="425" w:type="dxa"/>
            <w:tcBorders>
              <w:top w:val="nil"/>
              <w:left w:val="nil"/>
              <w:bottom w:val="nil"/>
              <w:right w:val="nil"/>
            </w:tcBorders>
            <w:shd w:val="clear" w:color="auto" w:fill="auto"/>
            <w:noWrap/>
            <w:vAlign w:val="bottom"/>
            <w:hideMark/>
          </w:tcPr>
          <w:p w:rsidR="009D4783" w:rsidRPr="009D4783" w:rsidRDefault="009D4783" w:rsidP="009D4783">
            <w:pPr>
              <w:spacing w:after="0" w:line="240" w:lineRule="auto"/>
              <w:rPr>
                <w:rFonts w:ascii="Times New Roman" w:eastAsia="Times New Roman" w:hAnsi="Times New Roman" w:cs="Times New Roman"/>
                <w:sz w:val="24"/>
                <w:szCs w:val="24"/>
                <w:lang w:eastAsia="en-IN" w:bidi="bn-IN"/>
              </w:rPr>
            </w:pPr>
          </w:p>
        </w:tc>
        <w:tc>
          <w:tcPr>
            <w:tcW w:w="2977" w:type="dxa"/>
            <w:gridSpan w:val="3"/>
            <w:tcBorders>
              <w:top w:val="nil"/>
              <w:left w:val="nil"/>
              <w:bottom w:val="nil"/>
              <w:right w:val="nil"/>
            </w:tcBorders>
            <w:shd w:val="clear" w:color="auto" w:fill="auto"/>
            <w:noWrap/>
            <w:vAlign w:val="bottom"/>
            <w:hideMark/>
          </w:tcPr>
          <w:p w:rsidR="00441E33" w:rsidRDefault="00C87688" w:rsidP="00C87688">
            <w:pPr>
              <w:spacing w:after="0" w:line="240" w:lineRule="auto"/>
              <w:jc w:val="center"/>
              <w:rPr>
                <w:rFonts w:ascii="Times New Roman" w:eastAsia="Times New Roman" w:hAnsi="Times New Roman" w:cs="Times New Roman"/>
                <w:b/>
                <w:bCs/>
                <w:color w:val="365F91" w:themeColor="accent1" w:themeShade="BF"/>
                <w:sz w:val="24"/>
                <w:szCs w:val="24"/>
                <w:lang w:eastAsia="en-IN" w:bidi="bn-IN"/>
              </w:rPr>
            </w:pPr>
            <w:r>
              <w:rPr>
                <w:rFonts w:ascii="Times New Roman" w:eastAsia="Times New Roman" w:hAnsi="Times New Roman" w:cs="Times New Roman"/>
                <w:b/>
                <w:bCs/>
                <w:color w:val="365F91" w:themeColor="accent1" w:themeShade="BF"/>
                <w:sz w:val="24"/>
                <w:szCs w:val="24"/>
                <w:lang w:eastAsia="en-IN" w:bidi="bn-IN"/>
              </w:rPr>
              <w:t xml:space="preserve">     </w:t>
            </w:r>
          </w:p>
          <w:p w:rsidR="00441E33" w:rsidRDefault="00441E33" w:rsidP="00C87688">
            <w:pPr>
              <w:spacing w:after="0" w:line="240" w:lineRule="auto"/>
              <w:jc w:val="center"/>
              <w:rPr>
                <w:rFonts w:ascii="Times New Roman" w:eastAsia="Times New Roman" w:hAnsi="Times New Roman" w:cs="Times New Roman"/>
                <w:b/>
                <w:bCs/>
                <w:color w:val="365F91" w:themeColor="accent1" w:themeShade="BF"/>
                <w:sz w:val="24"/>
                <w:szCs w:val="24"/>
                <w:lang w:eastAsia="en-IN" w:bidi="bn-IN"/>
              </w:rPr>
            </w:pPr>
          </w:p>
          <w:p w:rsidR="00441E33" w:rsidRDefault="00441E33" w:rsidP="00C87688">
            <w:pPr>
              <w:spacing w:after="0" w:line="240" w:lineRule="auto"/>
              <w:jc w:val="center"/>
              <w:rPr>
                <w:rFonts w:ascii="Times New Roman" w:eastAsia="Times New Roman" w:hAnsi="Times New Roman" w:cs="Times New Roman"/>
                <w:b/>
                <w:bCs/>
                <w:color w:val="365F91" w:themeColor="accent1" w:themeShade="BF"/>
                <w:sz w:val="24"/>
                <w:szCs w:val="24"/>
                <w:lang w:eastAsia="en-IN" w:bidi="bn-IN"/>
              </w:rPr>
            </w:pPr>
          </w:p>
          <w:p w:rsidR="00441E33" w:rsidRDefault="00441E33" w:rsidP="00C87688">
            <w:pPr>
              <w:spacing w:after="0" w:line="240" w:lineRule="auto"/>
              <w:jc w:val="center"/>
              <w:rPr>
                <w:rFonts w:ascii="Times New Roman" w:eastAsia="Times New Roman" w:hAnsi="Times New Roman" w:cs="Times New Roman"/>
                <w:b/>
                <w:bCs/>
                <w:color w:val="365F91" w:themeColor="accent1" w:themeShade="BF"/>
                <w:sz w:val="24"/>
                <w:szCs w:val="24"/>
                <w:lang w:eastAsia="en-IN" w:bidi="bn-IN"/>
              </w:rPr>
            </w:pPr>
          </w:p>
          <w:p w:rsidR="00DE4175" w:rsidRDefault="00C87688" w:rsidP="00C87688">
            <w:pPr>
              <w:spacing w:after="0" w:line="240" w:lineRule="auto"/>
              <w:jc w:val="center"/>
              <w:rPr>
                <w:rFonts w:ascii="Times New Roman" w:eastAsia="Times New Roman" w:hAnsi="Times New Roman" w:cs="Times New Roman"/>
                <w:b/>
                <w:bCs/>
                <w:color w:val="365F91" w:themeColor="accent1" w:themeShade="BF"/>
                <w:sz w:val="24"/>
                <w:szCs w:val="24"/>
                <w:lang w:eastAsia="en-IN" w:bidi="bn-IN"/>
              </w:rPr>
            </w:pPr>
            <w:r>
              <w:rPr>
                <w:rFonts w:ascii="Times New Roman" w:eastAsia="Times New Roman" w:hAnsi="Times New Roman" w:cs="Times New Roman"/>
                <w:b/>
                <w:bCs/>
                <w:color w:val="365F91" w:themeColor="accent1" w:themeShade="BF"/>
                <w:sz w:val="24"/>
                <w:szCs w:val="24"/>
                <w:lang w:eastAsia="en-IN" w:bidi="bn-IN"/>
              </w:rPr>
              <w:t xml:space="preserve"> </w:t>
            </w:r>
          </w:p>
          <w:p w:rsidR="00C17754" w:rsidRDefault="00C87688" w:rsidP="00C87688">
            <w:pPr>
              <w:spacing w:after="0" w:line="240" w:lineRule="auto"/>
              <w:jc w:val="center"/>
              <w:rPr>
                <w:rFonts w:ascii="Times New Roman" w:eastAsia="Times New Roman" w:hAnsi="Times New Roman" w:cs="Times New Roman"/>
                <w:b/>
                <w:bCs/>
                <w:color w:val="365F91" w:themeColor="accent1" w:themeShade="BF"/>
                <w:sz w:val="24"/>
                <w:szCs w:val="24"/>
                <w:lang w:eastAsia="en-IN" w:bidi="bn-IN"/>
              </w:rPr>
            </w:pPr>
            <w:r>
              <w:rPr>
                <w:rFonts w:ascii="Times New Roman" w:eastAsia="Times New Roman" w:hAnsi="Times New Roman" w:cs="Times New Roman"/>
                <w:b/>
                <w:bCs/>
                <w:color w:val="365F91" w:themeColor="accent1" w:themeShade="BF"/>
                <w:sz w:val="24"/>
                <w:szCs w:val="24"/>
                <w:lang w:eastAsia="en-IN" w:bidi="bn-IN"/>
              </w:rPr>
              <w:t xml:space="preserve">         </w:t>
            </w:r>
          </w:p>
          <w:p w:rsidR="009D4783" w:rsidRPr="003167BB" w:rsidRDefault="00922629" w:rsidP="009D4783">
            <w:pPr>
              <w:spacing w:after="0" w:line="240" w:lineRule="auto"/>
              <w:jc w:val="center"/>
              <w:rPr>
                <w:rFonts w:ascii="Times New Roman" w:eastAsia="Times New Roman" w:hAnsi="Times New Roman" w:cs="Times New Roman"/>
                <w:b/>
                <w:bCs/>
                <w:color w:val="365F91" w:themeColor="accent1" w:themeShade="BF"/>
                <w:sz w:val="24"/>
                <w:szCs w:val="24"/>
                <w:lang w:eastAsia="en-IN" w:bidi="bn-IN"/>
              </w:rPr>
            </w:pPr>
            <w:r>
              <w:rPr>
                <w:rFonts w:ascii="Times New Roman" w:eastAsia="Times New Roman" w:hAnsi="Times New Roman" w:cs="Times New Roman"/>
                <w:b/>
                <w:bCs/>
                <w:color w:val="365F91" w:themeColor="accent1" w:themeShade="BF"/>
                <w:sz w:val="24"/>
                <w:szCs w:val="24"/>
                <w:lang w:eastAsia="en-IN" w:bidi="bn-IN"/>
              </w:rPr>
              <w:t xml:space="preserve">                    </w:t>
            </w:r>
            <w:r w:rsidR="009D4783" w:rsidRPr="003167BB">
              <w:rPr>
                <w:rFonts w:ascii="Times New Roman" w:eastAsia="Times New Roman" w:hAnsi="Times New Roman" w:cs="Times New Roman"/>
                <w:b/>
                <w:bCs/>
                <w:color w:val="365F91" w:themeColor="accent1" w:themeShade="BF"/>
                <w:sz w:val="24"/>
                <w:szCs w:val="24"/>
                <w:lang w:eastAsia="en-IN" w:bidi="bn-IN"/>
              </w:rPr>
              <w:t>TABLE - 3</w:t>
            </w:r>
          </w:p>
        </w:tc>
        <w:tc>
          <w:tcPr>
            <w:tcW w:w="1516" w:type="dxa"/>
            <w:gridSpan w:val="2"/>
            <w:tcBorders>
              <w:top w:val="nil"/>
              <w:left w:val="nil"/>
              <w:bottom w:val="nil"/>
              <w:right w:val="nil"/>
            </w:tcBorders>
            <w:shd w:val="clear" w:color="auto" w:fill="auto"/>
            <w:noWrap/>
            <w:vAlign w:val="bottom"/>
            <w:hideMark/>
          </w:tcPr>
          <w:p w:rsidR="009D4783" w:rsidRPr="009D4783" w:rsidRDefault="009D4783" w:rsidP="009D4783">
            <w:pPr>
              <w:spacing w:after="0" w:line="240" w:lineRule="auto"/>
              <w:rPr>
                <w:rFonts w:ascii="Times New Roman" w:eastAsia="Times New Roman" w:hAnsi="Times New Roman" w:cs="Times New Roman"/>
                <w:sz w:val="24"/>
                <w:szCs w:val="24"/>
                <w:lang w:eastAsia="en-IN" w:bidi="bn-IN"/>
              </w:rPr>
            </w:pPr>
          </w:p>
        </w:tc>
        <w:tc>
          <w:tcPr>
            <w:tcW w:w="1603" w:type="dxa"/>
            <w:gridSpan w:val="2"/>
            <w:tcBorders>
              <w:top w:val="nil"/>
              <w:left w:val="nil"/>
              <w:bottom w:val="nil"/>
              <w:right w:val="nil"/>
            </w:tcBorders>
            <w:shd w:val="clear" w:color="auto" w:fill="auto"/>
            <w:noWrap/>
            <w:vAlign w:val="bottom"/>
            <w:hideMark/>
          </w:tcPr>
          <w:p w:rsidR="009D4783" w:rsidRPr="009D4783" w:rsidRDefault="009D4783" w:rsidP="009D4783">
            <w:pPr>
              <w:spacing w:after="0" w:line="240" w:lineRule="auto"/>
              <w:rPr>
                <w:rFonts w:ascii="Times New Roman" w:eastAsia="Times New Roman" w:hAnsi="Times New Roman" w:cs="Times New Roman"/>
                <w:sz w:val="24"/>
                <w:szCs w:val="24"/>
                <w:lang w:eastAsia="en-IN" w:bidi="bn-IN"/>
              </w:rPr>
            </w:pPr>
          </w:p>
        </w:tc>
        <w:tc>
          <w:tcPr>
            <w:tcW w:w="1417" w:type="dxa"/>
            <w:gridSpan w:val="2"/>
            <w:tcBorders>
              <w:top w:val="nil"/>
              <w:left w:val="nil"/>
              <w:bottom w:val="nil"/>
              <w:right w:val="nil"/>
            </w:tcBorders>
            <w:shd w:val="clear" w:color="auto" w:fill="auto"/>
            <w:noWrap/>
            <w:vAlign w:val="bottom"/>
            <w:hideMark/>
          </w:tcPr>
          <w:p w:rsidR="009D4783" w:rsidRPr="009D4783" w:rsidRDefault="009D4783" w:rsidP="009D4783">
            <w:pPr>
              <w:spacing w:after="0" w:line="240" w:lineRule="auto"/>
              <w:rPr>
                <w:rFonts w:ascii="Times New Roman" w:eastAsia="Times New Roman" w:hAnsi="Times New Roman" w:cs="Times New Roman"/>
                <w:sz w:val="28"/>
                <w:szCs w:val="28"/>
                <w:lang w:eastAsia="en-IN" w:bidi="bn-IN"/>
              </w:rPr>
            </w:pPr>
          </w:p>
        </w:tc>
      </w:tr>
      <w:tr w:rsidR="009D4783" w:rsidRPr="009D4783" w:rsidTr="00922629">
        <w:trPr>
          <w:gridAfter w:val="1"/>
          <w:wAfter w:w="447" w:type="dxa"/>
          <w:trHeight w:val="80"/>
        </w:trPr>
        <w:tc>
          <w:tcPr>
            <w:tcW w:w="709" w:type="dxa"/>
            <w:tcBorders>
              <w:top w:val="nil"/>
              <w:left w:val="nil"/>
              <w:bottom w:val="nil"/>
              <w:right w:val="nil"/>
            </w:tcBorders>
            <w:shd w:val="clear" w:color="auto" w:fill="auto"/>
            <w:noWrap/>
            <w:vAlign w:val="bottom"/>
            <w:hideMark/>
          </w:tcPr>
          <w:p w:rsidR="009D4783" w:rsidRPr="009D4783" w:rsidRDefault="009D4783" w:rsidP="009D4783">
            <w:pPr>
              <w:spacing w:after="0" w:line="240" w:lineRule="auto"/>
              <w:rPr>
                <w:rFonts w:ascii="Times New Roman" w:eastAsia="Times New Roman" w:hAnsi="Times New Roman" w:cs="Times New Roman"/>
                <w:b/>
                <w:bCs/>
                <w:sz w:val="24"/>
                <w:szCs w:val="24"/>
                <w:lang w:eastAsia="en-IN" w:bidi="bn-IN"/>
              </w:rPr>
            </w:pPr>
          </w:p>
        </w:tc>
        <w:tc>
          <w:tcPr>
            <w:tcW w:w="8789" w:type="dxa"/>
            <w:gridSpan w:val="11"/>
            <w:tcBorders>
              <w:top w:val="nil"/>
              <w:left w:val="nil"/>
              <w:bottom w:val="nil"/>
              <w:right w:val="nil"/>
            </w:tcBorders>
            <w:shd w:val="clear" w:color="auto" w:fill="auto"/>
            <w:noWrap/>
            <w:vAlign w:val="bottom"/>
            <w:hideMark/>
          </w:tcPr>
          <w:p w:rsidR="009D4783" w:rsidRPr="009D4783" w:rsidRDefault="009D4783" w:rsidP="009D4783">
            <w:pPr>
              <w:spacing w:after="0" w:line="240" w:lineRule="auto"/>
              <w:jc w:val="center"/>
              <w:rPr>
                <w:rFonts w:ascii="Times New Roman" w:eastAsia="Times New Roman" w:hAnsi="Times New Roman" w:cs="Times New Roman"/>
                <w:b/>
                <w:bCs/>
                <w:sz w:val="24"/>
                <w:szCs w:val="24"/>
                <w:lang w:eastAsia="en-IN" w:bidi="bn-IN"/>
              </w:rPr>
            </w:pPr>
            <w:r>
              <w:rPr>
                <w:rFonts w:ascii="Times New Roman" w:eastAsia="Times New Roman" w:hAnsi="Times New Roman" w:cs="Times New Roman"/>
                <w:b/>
                <w:bCs/>
                <w:sz w:val="24"/>
                <w:szCs w:val="24"/>
                <w:lang w:eastAsia="en-IN" w:bidi="bn-IN"/>
              </w:rPr>
              <w:t xml:space="preserve">    </w:t>
            </w:r>
            <w:r w:rsidR="0023528A">
              <w:rPr>
                <w:rFonts w:ascii="Times New Roman" w:eastAsia="Times New Roman" w:hAnsi="Times New Roman" w:cs="Times New Roman"/>
                <w:b/>
                <w:bCs/>
                <w:sz w:val="24"/>
                <w:szCs w:val="24"/>
                <w:lang w:eastAsia="en-IN" w:bidi="bn-IN"/>
              </w:rPr>
              <w:t xml:space="preserve">               </w:t>
            </w:r>
            <w:r w:rsidRPr="009D4783">
              <w:rPr>
                <w:rFonts w:ascii="Times New Roman" w:eastAsia="Times New Roman" w:hAnsi="Times New Roman" w:cs="Times New Roman"/>
                <w:b/>
                <w:bCs/>
                <w:sz w:val="24"/>
                <w:szCs w:val="24"/>
                <w:lang w:eastAsia="en-IN" w:bidi="bn-IN"/>
              </w:rPr>
              <w:t xml:space="preserve">INDIA'S MERCHANDISE EXPORTS &amp; IMPORTS w.r.t. </w:t>
            </w:r>
            <w:r w:rsidR="00A44803">
              <w:rPr>
                <w:rFonts w:ascii="Times New Roman" w:eastAsia="Times New Roman" w:hAnsi="Times New Roman" w:cs="Times New Roman"/>
                <w:b/>
                <w:bCs/>
                <w:sz w:val="24"/>
                <w:szCs w:val="24"/>
                <w:lang w:eastAsia="en-IN" w:bidi="bn-IN"/>
              </w:rPr>
              <w:t>BENIN</w:t>
            </w:r>
          </w:p>
        </w:tc>
        <w:tc>
          <w:tcPr>
            <w:tcW w:w="1417" w:type="dxa"/>
            <w:gridSpan w:val="2"/>
            <w:tcBorders>
              <w:top w:val="nil"/>
              <w:left w:val="nil"/>
              <w:bottom w:val="nil"/>
              <w:right w:val="nil"/>
            </w:tcBorders>
            <w:shd w:val="clear" w:color="auto" w:fill="auto"/>
            <w:noWrap/>
            <w:vAlign w:val="bottom"/>
            <w:hideMark/>
          </w:tcPr>
          <w:p w:rsidR="009D4783" w:rsidRPr="009D4783" w:rsidRDefault="009D4783" w:rsidP="009D4783">
            <w:pPr>
              <w:spacing w:after="0" w:line="240" w:lineRule="auto"/>
              <w:rPr>
                <w:rFonts w:ascii="Times New Roman" w:eastAsia="Times New Roman" w:hAnsi="Times New Roman" w:cs="Times New Roman"/>
                <w:b/>
                <w:bCs/>
                <w:sz w:val="24"/>
                <w:szCs w:val="24"/>
                <w:lang w:eastAsia="en-IN" w:bidi="bn-IN"/>
              </w:rPr>
            </w:pPr>
          </w:p>
        </w:tc>
      </w:tr>
      <w:tr w:rsidR="009D4783" w:rsidRPr="009D4783" w:rsidTr="00345D4B">
        <w:trPr>
          <w:gridAfter w:val="1"/>
          <w:wAfter w:w="447" w:type="dxa"/>
          <w:trHeight w:val="74"/>
        </w:trPr>
        <w:tc>
          <w:tcPr>
            <w:tcW w:w="709" w:type="dxa"/>
            <w:tcBorders>
              <w:top w:val="nil"/>
              <w:left w:val="nil"/>
              <w:bottom w:val="nil"/>
              <w:right w:val="nil"/>
            </w:tcBorders>
            <w:shd w:val="clear" w:color="auto" w:fill="auto"/>
            <w:noWrap/>
            <w:vAlign w:val="bottom"/>
            <w:hideMark/>
          </w:tcPr>
          <w:p w:rsidR="009D4783" w:rsidRPr="009D4783" w:rsidRDefault="009D4783" w:rsidP="009D4783">
            <w:pPr>
              <w:spacing w:after="0" w:line="240" w:lineRule="auto"/>
              <w:jc w:val="center"/>
              <w:rPr>
                <w:rFonts w:ascii="Times New Roman" w:eastAsia="Times New Roman" w:hAnsi="Times New Roman" w:cs="Times New Roman"/>
                <w:b/>
                <w:bCs/>
                <w:i/>
                <w:iCs/>
                <w:sz w:val="24"/>
                <w:szCs w:val="24"/>
                <w:lang w:eastAsia="en-IN" w:bidi="bn-IN"/>
              </w:rPr>
            </w:pPr>
          </w:p>
        </w:tc>
        <w:tc>
          <w:tcPr>
            <w:tcW w:w="7186" w:type="dxa"/>
            <w:gridSpan w:val="9"/>
            <w:tcBorders>
              <w:top w:val="nil"/>
              <w:left w:val="nil"/>
              <w:bottom w:val="nil"/>
              <w:right w:val="nil"/>
            </w:tcBorders>
            <w:shd w:val="clear" w:color="auto" w:fill="auto"/>
            <w:noWrap/>
            <w:vAlign w:val="bottom"/>
            <w:hideMark/>
          </w:tcPr>
          <w:p w:rsidR="009D4783" w:rsidRPr="009D4783" w:rsidRDefault="009D4783" w:rsidP="009D4783">
            <w:pPr>
              <w:spacing w:after="0" w:line="240" w:lineRule="auto"/>
              <w:jc w:val="center"/>
              <w:rPr>
                <w:rFonts w:ascii="Times New Roman" w:eastAsia="Times New Roman" w:hAnsi="Times New Roman" w:cs="Times New Roman"/>
                <w:b/>
                <w:bCs/>
                <w:sz w:val="24"/>
                <w:szCs w:val="24"/>
                <w:lang w:eastAsia="en-IN" w:bidi="bn-IN"/>
              </w:rPr>
            </w:pPr>
            <w:r>
              <w:rPr>
                <w:rFonts w:ascii="Times New Roman" w:eastAsia="Times New Roman" w:hAnsi="Times New Roman" w:cs="Times New Roman"/>
                <w:b/>
                <w:bCs/>
                <w:sz w:val="24"/>
                <w:szCs w:val="24"/>
                <w:lang w:eastAsia="en-IN" w:bidi="bn-IN"/>
              </w:rPr>
              <w:t xml:space="preserve">                   </w:t>
            </w:r>
            <w:r w:rsidR="0023528A">
              <w:rPr>
                <w:rFonts w:ascii="Times New Roman" w:eastAsia="Times New Roman" w:hAnsi="Times New Roman" w:cs="Times New Roman"/>
                <w:b/>
                <w:bCs/>
                <w:sz w:val="24"/>
                <w:szCs w:val="24"/>
                <w:lang w:eastAsia="en-IN" w:bidi="bn-IN"/>
              </w:rPr>
              <w:t xml:space="preserve">                      </w:t>
            </w:r>
            <w:r w:rsidRPr="009D4783">
              <w:rPr>
                <w:rFonts w:ascii="Times New Roman" w:eastAsia="Times New Roman" w:hAnsi="Times New Roman" w:cs="Times New Roman"/>
                <w:b/>
                <w:bCs/>
                <w:sz w:val="24"/>
                <w:szCs w:val="24"/>
                <w:lang w:eastAsia="en-IN" w:bidi="bn-IN"/>
              </w:rPr>
              <w:t xml:space="preserve">FY 2020-2021 to 2024-2025 </w:t>
            </w:r>
          </w:p>
        </w:tc>
        <w:tc>
          <w:tcPr>
            <w:tcW w:w="1603" w:type="dxa"/>
            <w:gridSpan w:val="2"/>
            <w:tcBorders>
              <w:top w:val="nil"/>
              <w:left w:val="nil"/>
              <w:bottom w:val="nil"/>
              <w:right w:val="nil"/>
            </w:tcBorders>
            <w:shd w:val="clear" w:color="auto" w:fill="auto"/>
            <w:noWrap/>
            <w:vAlign w:val="bottom"/>
            <w:hideMark/>
          </w:tcPr>
          <w:p w:rsidR="009D4783" w:rsidRPr="009D4783" w:rsidRDefault="009D4783" w:rsidP="009D4783">
            <w:pPr>
              <w:spacing w:after="0" w:line="240" w:lineRule="auto"/>
              <w:rPr>
                <w:rFonts w:ascii="Times New Roman" w:eastAsia="Times New Roman" w:hAnsi="Times New Roman" w:cs="Times New Roman"/>
                <w:b/>
                <w:bCs/>
                <w:sz w:val="24"/>
                <w:szCs w:val="24"/>
                <w:lang w:eastAsia="en-IN" w:bidi="bn-IN"/>
              </w:rPr>
            </w:pPr>
          </w:p>
        </w:tc>
        <w:tc>
          <w:tcPr>
            <w:tcW w:w="1417" w:type="dxa"/>
            <w:gridSpan w:val="2"/>
            <w:tcBorders>
              <w:top w:val="nil"/>
              <w:left w:val="nil"/>
              <w:bottom w:val="nil"/>
              <w:right w:val="nil"/>
            </w:tcBorders>
            <w:shd w:val="clear" w:color="auto" w:fill="auto"/>
            <w:noWrap/>
            <w:vAlign w:val="bottom"/>
            <w:hideMark/>
          </w:tcPr>
          <w:p w:rsidR="009D4783" w:rsidRPr="009D4783" w:rsidRDefault="009D4783" w:rsidP="009D4783">
            <w:pPr>
              <w:spacing w:after="0" w:line="240" w:lineRule="auto"/>
              <w:rPr>
                <w:rFonts w:ascii="Times New Roman" w:eastAsia="Times New Roman" w:hAnsi="Times New Roman" w:cs="Times New Roman"/>
                <w:b/>
                <w:bCs/>
                <w:sz w:val="24"/>
                <w:szCs w:val="24"/>
                <w:lang w:eastAsia="en-IN" w:bidi="bn-IN"/>
              </w:rPr>
            </w:pPr>
          </w:p>
        </w:tc>
      </w:tr>
      <w:tr w:rsidR="00345D4B" w:rsidRPr="00345D4B" w:rsidTr="007208D1">
        <w:trPr>
          <w:trHeight w:val="80"/>
        </w:trPr>
        <w:tc>
          <w:tcPr>
            <w:tcW w:w="1418" w:type="dxa"/>
            <w:gridSpan w:val="2"/>
            <w:tcBorders>
              <w:top w:val="nil"/>
              <w:left w:val="nil"/>
              <w:bottom w:val="nil"/>
              <w:right w:val="nil"/>
            </w:tcBorders>
            <w:shd w:val="clear" w:color="auto" w:fill="auto"/>
            <w:noWrap/>
            <w:vAlign w:val="bottom"/>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p>
        </w:tc>
        <w:tc>
          <w:tcPr>
            <w:tcW w:w="1418" w:type="dxa"/>
            <w:tcBorders>
              <w:top w:val="nil"/>
              <w:left w:val="nil"/>
              <w:bottom w:val="nil"/>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b/>
                <w:bCs/>
                <w:sz w:val="18"/>
                <w:szCs w:val="18"/>
                <w:lang w:eastAsia="en-IN" w:bidi="bn-IN"/>
              </w:rPr>
            </w:pPr>
          </w:p>
        </w:tc>
        <w:tc>
          <w:tcPr>
            <w:tcW w:w="1559" w:type="dxa"/>
            <w:gridSpan w:val="3"/>
            <w:tcBorders>
              <w:top w:val="nil"/>
              <w:left w:val="nil"/>
              <w:bottom w:val="nil"/>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b/>
                <w:bCs/>
                <w:sz w:val="18"/>
                <w:szCs w:val="18"/>
                <w:lang w:eastAsia="en-IN" w:bidi="bn-IN"/>
              </w:rPr>
            </w:pPr>
          </w:p>
        </w:tc>
        <w:tc>
          <w:tcPr>
            <w:tcW w:w="1417" w:type="dxa"/>
            <w:tcBorders>
              <w:top w:val="nil"/>
              <w:left w:val="nil"/>
              <w:bottom w:val="nil"/>
              <w:right w:val="nil"/>
            </w:tcBorders>
            <w:shd w:val="clear" w:color="auto" w:fill="auto"/>
            <w:noWrap/>
            <w:vAlign w:val="bottom"/>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p>
        </w:tc>
        <w:tc>
          <w:tcPr>
            <w:tcW w:w="4253" w:type="dxa"/>
            <w:gridSpan w:val="6"/>
            <w:tcBorders>
              <w:top w:val="nil"/>
              <w:left w:val="nil"/>
              <w:bottom w:val="single" w:sz="4" w:space="0" w:color="auto"/>
              <w:right w:val="nil"/>
            </w:tcBorders>
            <w:shd w:val="clear" w:color="auto" w:fill="auto"/>
            <w:noWrap/>
            <w:vAlign w:val="bottom"/>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 xml:space="preserve">          </w:t>
            </w:r>
            <w:r>
              <w:rPr>
                <w:rFonts w:ascii="Times New Roman" w:eastAsia="Times New Roman" w:hAnsi="Times New Roman" w:cs="Times New Roman"/>
                <w:b/>
                <w:bCs/>
                <w:sz w:val="18"/>
                <w:szCs w:val="18"/>
                <w:lang w:eastAsia="en-IN" w:bidi="bn-IN"/>
              </w:rPr>
              <w:t xml:space="preserve">                                        </w:t>
            </w:r>
            <w:r w:rsidRPr="00345D4B">
              <w:rPr>
                <w:rFonts w:ascii="Times New Roman" w:eastAsia="Times New Roman" w:hAnsi="Times New Roman" w:cs="Times New Roman"/>
                <w:b/>
                <w:bCs/>
                <w:sz w:val="18"/>
                <w:szCs w:val="18"/>
                <w:lang w:eastAsia="en-IN" w:bidi="bn-IN"/>
              </w:rPr>
              <w:t>(Value in USD Million)</w:t>
            </w:r>
          </w:p>
        </w:tc>
        <w:tc>
          <w:tcPr>
            <w:tcW w:w="1297" w:type="dxa"/>
            <w:gridSpan w:val="2"/>
            <w:tcBorders>
              <w:top w:val="nil"/>
              <w:left w:val="nil"/>
              <w:bottom w:val="nil"/>
              <w:right w:val="nil"/>
            </w:tcBorders>
            <w:shd w:val="clear" w:color="auto" w:fill="auto"/>
            <w:noWrap/>
            <w:vAlign w:val="bottom"/>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p>
        </w:tc>
      </w:tr>
      <w:tr w:rsidR="00345D4B" w:rsidRPr="00345D4B" w:rsidTr="00345D4B">
        <w:trPr>
          <w:trHeight w:val="407"/>
        </w:trPr>
        <w:tc>
          <w:tcPr>
            <w:tcW w:w="1418" w:type="dxa"/>
            <w:gridSpan w:val="2"/>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Year</w:t>
            </w:r>
          </w:p>
        </w:tc>
        <w:tc>
          <w:tcPr>
            <w:tcW w:w="1418" w:type="dxa"/>
            <w:tcBorders>
              <w:top w:val="single" w:sz="4" w:space="0" w:color="auto"/>
              <w:left w:val="single" w:sz="4" w:space="0" w:color="auto"/>
              <w:bottom w:val="nil"/>
              <w:right w:val="single" w:sz="4" w:space="0" w:color="auto"/>
            </w:tcBorders>
            <w:shd w:val="clear" w:color="auto" w:fill="auto"/>
            <w:vAlign w:val="center"/>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Exports  from India to Benin</w:t>
            </w:r>
          </w:p>
        </w:tc>
        <w:tc>
          <w:tcPr>
            <w:tcW w:w="1559" w:type="dxa"/>
            <w:gridSpan w:val="3"/>
            <w:tcBorders>
              <w:top w:val="single" w:sz="4" w:space="0" w:color="auto"/>
              <w:left w:val="nil"/>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Percentage</w:t>
            </w:r>
          </w:p>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Growth in</w:t>
            </w:r>
          </w:p>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Exports</w:t>
            </w:r>
          </w:p>
        </w:tc>
        <w:tc>
          <w:tcPr>
            <w:tcW w:w="1417" w:type="dxa"/>
            <w:tcBorders>
              <w:top w:val="single" w:sz="4" w:space="0" w:color="auto"/>
              <w:left w:val="single" w:sz="4" w:space="0" w:color="auto"/>
              <w:bottom w:val="nil"/>
              <w:right w:val="single" w:sz="4" w:space="0" w:color="auto"/>
            </w:tcBorders>
            <w:shd w:val="clear" w:color="auto" w:fill="auto"/>
            <w:vAlign w:val="center"/>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Imports from Benin to India</w:t>
            </w:r>
          </w:p>
        </w:tc>
        <w:tc>
          <w:tcPr>
            <w:tcW w:w="1418" w:type="dxa"/>
            <w:gridSpan w:val="2"/>
            <w:tcBorders>
              <w:top w:val="nil"/>
              <w:left w:val="nil"/>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Percentage</w:t>
            </w:r>
          </w:p>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Growth in</w:t>
            </w:r>
          </w:p>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Imports</w:t>
            </w:r>
          </w:p>
        </w:tc>
        <w:tc>
          <w:tcPr>
            <w:tcW w:w="1417" w:type="dxa"/>
            <w:gridSpan w:val="2"/>
            <w:tcBorders>
              <w:top w:val="nil"/>
              <w:left w:val="nil"/>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Volume</w:t>
            </w:r>
          </w:p>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of</w:t>
            </w:r>
          </w:p>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Trade</w:t>
            </w:r>
          </w:p>
        </w:tc>
        <w:tc>
          <w:tcPr>
            <w:tcW w:w="1418" w:type="dxa"/>
            <w:gridSpan w:val="2"/>
            <w:tcBorders>
              <w:top w:val="nil"/>
              <w:left w:val="nil"/>
              <w:right w:val="nil"/>
            </w:tcBorders>
            <w:shd w:val="clear" w:color="auto" w:fill="auto"/>
            <w:vAlign w:val="center"/>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Percentage</w:t>
            </w:r>
          </w:p>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Growth in</w:t>
            </w:r>
          </w:p>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Vol. of Trade</w:t>
            </w:r>
          </w:p>
        </w:tc>
        <w:tc>
          <w:tcPr>
            <w:tcW w:w="1297" w:type="dxa"/>
            <w:gridSpan w:val="2"/>
            <w:tcBorders>
              <w:top w:val="single" w:sz="4" w:space="0" w:color="auto"/>
              <w:left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Balance</w:t>
            </w:r>
          </w:p>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of</w:t>
            </w:r>
          </w:p>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Trade</w:t>
            </w:r>
          </w:p>
        </w:tc>
      </w:tr>
      <w:tr w:rsidR="00345D4B" w:rsidRPr="00345D4B" w:rsidTr="00345D4B">
        <w:trPr>
          <w:trHeight w:val="375"/>
        </w:trPr>
        <w:tc>
          <w:tcPr>
            <w:tcW w:w="1418" w:type="dxa"/>
            <w:gridSpan w:val="2"/>
            <w:tcBorders>
              <w:top w:val="nil"/>
              <w:left w:val="single" w:sz="4" w:space="0" w:color="auto"/>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2020-21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555.20</w:t>
            </w:r>
          </w:p>
        </w:tc>
        <w:tc>
          <w:tcPr>
            <w:tcW w:w="1559" w:type="dxa"/>
            <w:gridSpan w:val="3"/>
            <w:tcBorders>
              <w:top w:val="single" w:sz="4" w:space="0" w:color="auto"/>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325.97</w:t>
            </w:r>
          </w:p>
        </w:tc>
        <w:tc>
          <w:tcPr>
            <w:tcW w:w="1418" w:type="dxa"/>
            <w:gridSpan w:val="2"/>
            <w:tcBorders>
              <w:top w:val="single" w:sz="4" w:space="0" w:color="auto"/>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881.17</w:t>
            </w:r>
          </w:p>
        </w:tc>
        <w:tc>
          <w:tcPr>
            <w:tcW w:w="1418" w:type="dxa"/>
            <w:gridSpan w:val="2"/>
            <w:tcBorders>
              <w:top w:val="single" w:sz="4" w:space="0" w:color="auto"/>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p>
        </w:tc>
        <w:tc>
          <w:tcPr>
            <w:tcW w:w="1297" w:type="dxa"/>
            <w:gridSpan w:val="2"/>
            <w:tcBorders>
              <w:top w:val="single" w:sz="4" w:space="0" w:color="auto"/>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229.23</w:t>
            </w:r>
          </w:p>
        </w:tc>
      </w:tr>
      <w:tr w:rsidR="00345D4B" w:rsidRPr="00345D4B" w:rsidTr="00345D4B">
        <w:trPr>
          <w:trHeight w:val="375"/>
        </w:trPr>
        <w:tc>
          <w:tcPr>
            <w:tcW w:w="1418" w:type="dxa"/>
            <w:gridSpan w:val="2"/>
            <w:tcBorders>
              <w:top w:val="nil"/>
              <w:left w:val="single" w:sz="4" w:space="0" w:color="auto"/>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2021-22</w:t>
            </w:r>
          </w:p>
        </w:tc>
        <w:tc>
          <w:tcPr>
            <w:tcW w:w="1418" w:type="dxa"/>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716.41</w:t>
            </w:r>
          </w:p>
        </w:tc>
        <w:tc>
          <w:tcPr>
            <w:tcW w:w="1559" w:type="dxa"/>
            <w:gridSpan w:val="3"/>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29.04</w:t>
            </w:r>
          </w:p>
        </w:tc>
        <w:tc>
          <w:tcPr>
            <w:tcW w:w="1417" w:type="dxa"/>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402.12</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23.36</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1118.53</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26.94</w:t>
            </w:r>
          </w:p>
        </w:tc>
        <w:tc>
          <w:tcPr>
            <w:tcW w:w="1297" w:type="dxa"/>
            <w:gridSpan w:val="2"/>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314.29</w:t>
            </w:r>
          </w:p>
        </w:tc>
      </w:tr>
      <w:tr w:rsidR="00345D4B" w:rsidRPr="00345D4B" w:rsidTr="00345D4B">
        <w:trPr>
          <w:trHeight w:val="375"/>
        </w:trPr>
        <w:tc>
          <w:tcPr>
            <w:tcW w:w="1418" w:type="dxa"/>
            <w:gridSpan w:val="2"/>
            <w:tcBorders>
              <w:top w:val="nil"/>
              <w:left w:val="single" w:sz="4" w:space="0" w:color="auto"/>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2022-23</w:t>
            </w:r>
          </w:p>
        </w:tc>
        <w:tc>
          <w:tcPr>
            <w:tcW w:w="1418" w:type="dxa"/>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892.81</w:t>
            </w:r>
          </w:p>
        </w:tc>
        <w:tc>
          <w:tcPr>
            <w:tcW w:w="1559" w:type="dxa"/>
            <w:gridSpan w:val="3"/>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24.62</w:t>
            </w:r>
          </w:p>
        </w:tc>
        <w:tc>
          <w:tcPr>
            <w:tcW w:w="1417" w:type="dxa"/>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452.58</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12.55</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1345.39</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20.28</w:t>
            </w:r>
          </w:p>
        </w:tc>
        <w:tc>
          <w:tcPr>
            <w:tcW w:w="1297" w:type="dxa"/>
            <w:gridSpan w:val="2"/>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440.23</w:t>
            </w:r>
          </w:p>
        </w:tc>
      </w:tr>
      <w:tr w:rsidR="00345D4B" w:rsidRPr="00345D4B" w:rsidTr="00345D4B">
        <w:trPr>
          <w:trHeight w:val="375"/>
        </w:trPr>
        <w:tc>
          <w:tcPr>
            <w:tcW w:w="1418" w:type="dxa"/>
            <w:gridSpan w:val="2"/>
            <w:tcBorders>
              <w:top w:val="nil"/>
              <w:left w:val="single" w:sz="4" w:space="0" w:color="auto"/>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2023-24</w:t>
            </w:r>
          </w:p>
        </w:tc>
        <w:tc>
          <w:tcPr>
            <w:tcW w:w="1418" w:type="dxa"/>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752.55</w:t>
            </w:r>
          </w:p>
        </w:tc>
        <w:tc>
          <w:tcPr>
            <w:tcW w:w="1559" w:type="dxa"/>
            <w:gridSpan w:val="3"/>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-15.71</w:t>
            </w:r>
          </w:p>
        </w:tc>
        <w:tc>
          <w:tcPr>
            <w:tcW w:w="1417" w:type="dxa"/>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214.57</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-52.59</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967.12</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-28.12</w:t>
            </w:r>
          </w:p>
        </w:tc>
        <w:tc>
          <w:tcPr>
            <w:tcW w:w="1297" w:type="dxa"/>
            <w:gridSpan w:val="2"/>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537.98</w:t>
            </w:r>
          </w:p>
        </w:tc>
      </w:tr>
      <w:tr w:rsidR="00345D4B" w:rsidRPr="00345D4B" w:rsidTr="00345D4B">
        <w:trPr>
          <w:trHeight w:val="375"/>
        </w:trPr>
        <w:tc>
          <w:tcPr>
            <w:tcW w:w="1418" w:type="dxa"/>
            <w:gridSpan w:val="2"/>
            <w:tcBorders>
              <w:top w:val="nil"/>
              <w:left w:val="single" w:sz="4" w:space="0" w:color="auto"/>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2024-25</w:t>
            </w:r>
          </w:p>
        </w:tc>
        <w:tc>
          <w:tcPr>
            <w:tcW w:w="1418" w:type="dxa"/>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1194.98</w:t>
            </w:r>
          </w:p>
        </w:tc>
        <w:tc>
          <w:tcPr>
            <w:tcW w:w="1559" w:type="dxa"/>
            <w:gridSpan w:val="3"/>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58.79</w:t>
            </w:r>
          </w:p>
        </w:tc>
        <w:tc>
          <w:tcPr>
            <w:tcW w:w="1417" w:type="dxa"/>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130.51</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-39.18</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1325.49</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37.06</w:t>
            </w:r>
          </w:p>
        </w:tc>
        <w:tc>
          <w:tcPr>
            <w:tcW w:w="1297" w:type="dxa"/>
            <w:gridSpan w:val="2"/>
            <w:tcBorders>
              <w:top w:val="nil"/>
              <w:left w:val="nil"/>
              <w:bottom w:val="single" w:sz="4" w:space="0" w:color="auto"/>
              <w:right w:val="single" w:sz="4" w:space="0" w:color="auto"/>
            </w:tcBorders>
            <w:shd w:val="clear" w:color="auto" w:fill="auto"/>
            <w:noWrap/>
            <w:vAlign w:val="center"/>
            <w:hideMark/>
          </w:tcPr>
          <w:p w:rsidR="00345D4B" w:rsidRPr="00345D4B" w:rsidRDefault="00345D4B" w:rsidP="00345D4B">
            <w:pPr>
              <w:spacing w:after="0" w:line="240" w:lineRule="auto"/>
              <w:jc w:val="center"/>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1064.47</w:t>
            </w:r>
          </w:p>
        </w:tc>
      </w:tr>
      <w:tr w:rsidR="00345D4B" w:rsidRPr="00345D4B" w:rsidTr="00345D4B">
        <w:trPr>
          <w:trHeight w:val="70"/>
        </w:trPr>
        <w:tc>
          <w:tcPr>
            <w:tcW w:w="1418" w:type="dxa"/>
            <w:gridSpan w:val="2"/>
            <w:vMerge w:val="restart"/>
            <w:tcBorders>
              <w:top w:val="nil"/>
              <w:left w:val="nil"/>
              <w:right w:val="nil"/>
            </w:tcBorders>
            <w:shd w:val="clear" w:color="auto" w:fill="auto"/>
            <w:noWrap/>
            <w:vAlign w:val="bottom"/>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Annual</w:t>
            </w:r>
          </w:p>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Compound</w:t>
            </w:r>
          </w:p>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Growth Rate</w:t>
            </w:r>
          </w:p>
        </w:tc>
        <w:tc>
          <w:tcPr>
            <w:tcW w:w="1418" w:type="dxa"/>
            <w:tcBorders>
              <w:top w:val="nil"/>
              <w:left w:val="nil"/>
              <w:bottom w:val="nil"/>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sz w:val="18"/>
                <w:szCs w:val="18"/>
                <w:lang w:eastAsia="en-IN" w:bidi="bn-IN"/>
              </w:rPr>
            </w:pPr>
          </w:p>
        </w:tc>
        <w:tc>
          <w:tcPr>
            <w:tcW w:w="1559" w:type="dxa"/>
            <w:gridSpan w:val="3"/>
            <w:tcBorders>
              <w:top w:val="nil"/>
              <w:left w:val="nil"/>
              <w:bottom w:val="nil"/>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sz w:val="18"/>
                <w:szCs w:val="18"/>
                <w:lang w:eastAsia="en-IN" w:bidi="bn-IN"/>
              </w:rPr>
            </w:pPr>
          </w:p>
        </w:tc>
        <w:tc>
          <w:tcPr>
            <w:tcW w:w="1417" w:type="dxa"/>
            <w:tcBorders>
              <w:top w:val="nil"/>
              <w:left w:val="nil"/>
              <w:bottom w:val="nil"/>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sz w:val="18"/>
                <w:szCs w:val="18"/>
                <w:lang w:eastAsia="en-IN" w:bidi="bn-IN"/>
              </w:rPr>
            </w:pPr>
          </w:p>
        </w:tc>
        <w:tc>
          <w:tcPr>
            <w:tcW w:w="1418" w:type="dxa"/>
            <w:gridSpan w:val="2"/>
            <w:tcBorders>
              <w:top w:val="nil"/>
              <w:left w:val="nil"/>
              <w:bottom w:val="nil"/>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 </w:t>
            </w:r>
          </w:p>
        </w:tc>
        <w:tc>
          <w:tcPr>
            <w:tcW w:w="1417" w:type="dxa"/>
            <w:gridSpan w:val="2"/>
            <w:tcBorders>
              <w:top w:val="nil"/>
              <w:left w:val="nil"/>
              <w:bottom w:val="nil"/>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 </w:t>
            </w:r>
          </w:p>
        </w:tc>
        <w:tc>
          <w:tcPr>
            <w:tcW w:w="1418" w:type="dxa"/>
            <w:gridSpan w:val="2"/>
            <w:tcBorders>
              <w:top w:val="nil"/>
              <w:left w:val="nil"/>
              <w:bottom w:val="nil"/>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 </w:t>
            </w:r>
          </w:p>
        </w:tc>
        <w:tc>
          <w:tcPr>
            <w:tcW w:w="1297" w:type="dxa"/>
            <w:gridSpan w:val="2"/>
            <w:tcBorders>
              <w:top w:val="nil"/>
              <w:left w:val="nil"/>
              <w:bottom w:val="nil"/>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 </w:t>
            </w:r>
          </w:p>
        </w:tc>
      </w:tr>
      <w:tr w:rsidR="00345D4B" w:rsidRPr="00345D4B" w:rsidTr="005831C3">
        <w:trPr>
          <w:trHeight w:val="375"/>
        </w:trPr>
        <w:tc>
          <w:tcPr>
            <w:tcW w:w="1418" w:type="dxa"/>
            <w:gridSpan w:val="2"/>
            <w:vMerge/>
            <w:tcBorders>
              <w:left w:val="nil"/>
              <w:right w:val="nil"/>
            </w:tcBorders>
            <w:shd w:val="clear" w:color="auto" w:fill="auto"/>
            <w:noWrap/>
            <w:vAlign w:val="bottom"/>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p>
        </w:tc>
        <w:tc>
          <w:tcPr>
            <w:tcW w:w="1418" w:type="dxa"/>
            <w:tcBorders>
              <w:top w:val="nil"/>
              <w:left w:val="nil"/>
              <w:bottom w:val="nil"/>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sz w:val="18"/>
                <w:szCs w:val="18"/>
                <w:lang w:eastAsia="en-IN" w:bidi="bn-IN"/>
              </w:rPr>
            </w:pPr>
          </w:p>
        </w:tc>
        <w:tc>
          <w:tcPr>
            <w:tcW w:w="1559" w:type="dxa"/>
            <w:gridSpan w:val="3"/>
            <w:tcBorders>
              <w:top w:val="nil"/>
              <w:left w:val="nil"/>
              <w:bottom w:val="nil"/>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sz w:val="18"/>
                <w:szCs w:val="18"/>
                <w:lang w:eastAsia="en-IN" w:bidi="bn-IN"/>
              </w:rPr>
            </w:pPr>
          </w:p>
        </w:tc>
        <w:tc>
          <w:tcPr>
            <w:tcW w:w="1417" w:type="dxa"/>
            <w:tcBorders>
              <w:top w:val="nil"/>
              <w:left w:val="nil"/>
              <w:bottom w:val="nil"/>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sz w:val="18"/>
                <w:szCs w:val="18"/>
                <w:lang w:eastAsia="en-IN" w:bidi="bn-IN"/>
              </w:rPr>
            </w:pPr>
          </w:p>
        </w:tc>
        <w:tc>
          <w:tcPr>
            <w:tcW w:w="1418" w:type="dxa"/>
            <w:gridSpan w:val="2"/>
            <w:tcBorders>
              <w:top w:val="nil"/>
              <w:left w:val="nil"/>
              <w:bottom w:val="nil"/>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 xml:space="preserve"> </w:t>
            </w:r>
          </w:p>
        </w:tc>
        <w:tc>
          <w:tcPr>
            <w:tcW w:w="1417" w:type="dxa"/>
            <w:gridSpan w:val="2"/>
            <w:tcBorders>
              <w:top w:val="nil"/>
              <w:left w:val="nil"/>
              <w:bottom w:val="nil"/>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sz w:val="18"/>
                <w:szCs w:val="18"/>
                <w:lang w:eastAsia="en-IN" w:bidi="bn-IN"/>
              </w:rPr>
            </w:pPr>
          </w:p>
        </w:tc>
        <w:tc>
          <w:tcPr>
            <w:tcW w:w="1418" w:type="dxa"/>
            <w:gridSpan w:val="2"/>
            <w:tcBorders>
              <w:top w:val="nil"/>
              <w:left w:val="nil"/>
              <w:bottom w:val="nil"/>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sz w:val="18"/>
                <w:szCs w:val="18"/>
                <w:lang w:eastAsia="en-IN" w:bidi="bn-IN"/>
              </w:rPr>
            </w:pPr>
          </w:p>
        </w:tc>
        <w:tc>
          <w:tcPr>
            <w:tcW w:w="1297" w:type="dxa"/>
            <w:gridSpan w:val="2"/>
            <w:tcBorders>
              <w:top w:val="nil"/>
              <w:left w:val="nil"/>
              <w:bottom w:val="nil"/>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sz w:val="18"/>
                <w:szCs w:val="18"/>
                <w:lang w:eastAsia="en-IN" w:bidi="bn-IN"/>
              </w:rPr>
            </w:pPr>
          </w:p>
        </w:tc>
      </w:tr>
      <w:tr w:rsidR="00345D4B" w:rsidRPr="00345D4B" w:rsidTr="002900E4">
        <w:trPr>
          <w:trHeight w:val="80"/>
        </w:trPr>
        <w:tc>
          <w:tcPr>
            <w:tcW w:w="1418" w:type="dxa"/>
            <w:gridSpan w:val="2"/>
            <w:vMerge/>
            <w:tcBorders>
              <w:left w:val="nil"/>
              <w:bottom w:val="single" w:sz="4" w:space="0" w:color="auto"/>
              <w:right w:val="nil"/>
            </w:tcBorders>
            <w:shd w:val="clear" w:color="auto" w:fill="auto"/>
            <w:noWrap/>
            <w:vAlign w:val="bottom"/>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p>
        </w:tc>
        <w:tc>
          <w:tcPr>
            <w:tcW w:w="1418" w:type="dxa"/>
            <w:tcBorders>
              <w:top w:val="nil"/>
              <w:left w:val="nil"/>
              <w:bottom w:val="single" w:sz="4" w:space="0" w:color="auto"/>
              <w:right w:val="nil"/>
            </w:tcBorders>
            <w:shd w:val="clear" w:color="auto" w:fill="auto"/>
            <w:noWrap/>
            <w:vAlign w:val="bottom"/>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 </w:t>
            </w:r>
          </w:p>
        </w:tc>
        <w:tc>
          <w:tcPr>
            <w:tcW w:w="1559" w:type="dxa"/>
            <w:gridSpan w:val="3"/>
            <w:tcBorders>
              <w:top w:val="nil"/>
              <w:left w:val="nil"/>
              <w:bottom w:val="single" w:sz="4" w:space="0" w:color="auto"/>
              <w:right w:val="nil"/>
            </w:tcBorders>
            <w:shd w:val="clear" w:color="auto" w:fill="auto"/>
            <w:noWrap/>
            <w:vAlign w:val="bottom"/>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21.12</w:t>
            </w:r>
          </w:p>
        </w:tc>
        <w:tc>
          <w:tcPr>
            <w:tcW w:w="1417" w:type="dxa"/>
            <w:tcBorders>
              <w:top w:val="nil"/>
              <w:left w:val="nil"/>
              <w:bottom w:val="single" w:sz="4" w:space="0" w:color="auto"/>
              <w:right w:val="nil"/>
            </w:tcBorders>
            <w:shd w:val="clear" w:color="auto" w:fill="auto"/>
            <w:noWrap/>
            <w:vAlign w:val="bottom"/>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 </w:t>
            </w:r>
          </w:p>
        </w:tc>
        <w:tc>
          <w:tcPr>
            <w:tcW w:w="1418" w:type="dxa"/>
            <w:gridSpan w:val="2"/>
            <w:tcBorders>
              <w:top w:val="nil"/>
              <w:left w:val="nil"/>
              <w:bottom w:val="single" w:sz="4" w:space="0" w:color="auto"/>
              <w:right w:val="nil"/>
            </w:tcBorders>
            <w:shd w:val="clear" w:color="auto" w:fill="auto"/>
            <w:noWrap/>
            <w:vAlign w:val="bottom"/>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-20.45</w:t>
            </w:r>
          </w:p>
        </w:tc>
        <w:tc>
          <w:tcPr>
            <w:tcW w:w="1417" w:type="dxa"/>
            <w:gridSpan w:val="2"/>
            <w:tcBorders>
              <w:top w:val="nil"/>
              <w:left w:val="nil"/>
              <w:bottom w:val="single" w:sz="4" w:space="0" w:color="auto"/>
              <w:right w:val="nil"/>
            </w:tcBorders>
            <w:shd w:val="clear" w:color="auto" w:fill="auto"/>
            <w:noWrap/>
            <w:vAlign w:val="bottom"/>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 </w:t>
            </w:r>
          </w:p>
        </w:tc>
        <w:tc>
          <w:tcPr>
            <w:tcW w:w="1418" w:type="dxa"/>
            <w:gridSpan w:val="2"/>
            <w:tcBorders>
              <w:top w:val="nil"/>
              <w:left w:val="nil"/>
              <w:bottom w:val="single" w:sz="4" w:space="0" w:color="auto"/>
              <w:right w:val="nil"/>
            </w:tcBorders>
            <w:shd w:val="clear" w:color="auto" w:fill="auto"/>
            <w:noWrap/>
            <w:vAlign w:val="bottom"/>
            <w:hideMark/>
          </w:tcPr>
          <w:p w:rsidR="00345D4B" w:rsidRPr="00345D4B" w:rsidRDefault="00345D4B" w:rsidP="00345D4B">
            <w:pPr>
              <w:spacing w:after="0" w:line="240" w:lineRule="auto"/>
              <w:jc w:val="center"/>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10.75</w:t>
            </w:r>
          </w:p>
        </w:tc>
        <w:tc>
          <w:tcPr>
            <w:tcW w:w="1297" w:type="dxa"/>
            <w:gridSpan w:val="2"/>
            <w:tcBorders>
              <w:top w:val="nil"/>
              <w:left w:val="nil"/>
              <w:bottom w:val="single" w:sz="4" w:space="0" w:color="auto"/>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sz w:val="18"/>
                <w:szCs w:val="18"/>
                <w:lang w:eastAsia="en-IN" w:bidi="bn-IN"/>
              </w:rPr>
              <w:t> </w:t>
            </w:r>
          </w:p>
        </w:tc>
      </w:tr>
      <w:tr w:rsidR="00345D4B" w:rsidRPr="00345D4B" w:rsidTr="00345D4B">
        <w:trPr>
          <w:trHeight w:val="70"/>
        </w:trPr>
        <w:tc>
          <w:tcPr>
            <w:tcW w:w="11362" w:type="dxa"/>
            <w:gridSpan w:val="15"/>
            <w:tcBorders>
              <w:top w:val="nil"/>
              <w:left w:val="nil"/>
              <w:right w:val="nil"/>
            </w:tcBorders>
            <w:shd w:val="clear" w:color="auto" w:fill="auto"/>
            <w:noWrap/>
            <w:vAlign w:val="bottom"/>
            <w:hideMark/>
          </w:tcPr>
          <w:p w:rsidR="00345D4B" w:rsidRPr="00345D4B" w:rsidRDefault="00345D4B" w:rsidP="00345D4B">
            <w:pPr>
              <w:spacing w:after="0" w:line="240" w:lineRule="auto"/>
              <w:rPr>
                <w:rFonts w:ascii="Times New Roman" w:eastAsia="Times New Roman" w:hAnsi="Times New Roman" w:cs="Times New Roman"/>
                <w:b/>
                <w:bCs/>
                <w:sz w:val="18"/>
                <w:szCs w:val="18"/>
                <w:lang w:eastAsia="en-IN" w:bidi="bn-IN"/>
              </w:rPr>
            </w:pPr>
            <w:r w:rsidRPr="00345D4B">
              <w:rPr>
                <w:rFonts w:ascii="Times New Roman" w:eastAsia="Times New Roman" w:hAnsi="Times New Roman" w:cs="Times New Roman"/>
                <w:b/>
                <w:bCs/>
                <w:sz w:val="18"/>
                <w:szCs w:val="18"/>
                <w:lang w:eastAsia="en-IN" w:bidi="bn-IN"/>
              </w:rPr>
              <w:t>NOTE        :   Figures relate to Financial Year (April to March)</w:t>
            </w:r>
          </w:p>
          <w:p w:rsidR="00345D4B" w:rsidRPr="00345D4B" w:rsidRDefault="00345D4B" w:rsidP="00345D4B">
            <w:pPr>
              <w:spacing w:after="0" w:line="240" w:lineRule="auto"/>
              <w:rPr>
                <w:rFonts w:ascii="Times New Roman" w:eastAsia="Times New Roman" w:hAnsi="Times New Roman" w:cs="Times New Roman"/>
                <w:sz w:val="18"/>
                <w:szCs w:val="18"/>
                <w:lang w:eastAsia="en-IN" w:bidi="bn-IN"/>
              </w:rPr>
            </w:pPr>
            <w:r w:rsidRPr="00345D4B">
              <w:rPr>
                <w:rFonts w:ascii="Times New Roman" w:eastAsia="Times New Roman" w:hAnsi="Times New Roman" w:cs="Times New Roman"/>
                <w:b/>
                <w:bCs/>
                <w:sz w:val="18"/>
                <w:szCs w:val="18"/>
                <w:lang w:eastAsia="en-IN" w:bidi="bn-IN"/>
              </w:rPr>
              <w:t>SOURCE         : DGCI&amp;S, M/oC&amp;I</w:t>
            </w:r>
          </w:p>
        </w:tc>
      </w:tr>
    </w:tbl>
    <w:p w:rsidR="004D0C31" w:rsidRDefault="004D0C31" w:rsidP="00C87688">
      <w:pPr>
        <w:spacing w:after="0" w:line="240" w:lineRule="auto"/>
        <w:rPr>
          <w:rFonts w:ascii="Times New Roman" w:eastAsia="Times New Roman" w:hAnsi="Times New Roman" w:cs="Times New Roman"/>
          <w:b/>
          <w:bCs/>
          <w:color w:val="365F91" w:themeColor="accent1" w:themeShade="BF"/>
          <w:sz w:val="24"/>
          <w:szCs w:val="24"/>
          <w:lang w:eastAsia="en-IN" w:bidi="bn-IN"/>
        </w:rPr>
      </w:pPr>
    </w:p>
    <w:p w:rsidR="00DE4175" w:rsidRDefault="00DE4175" w:rsidP="00C87688">
      <w:pPr>
        <w:spacing w:after="0" w:line="240" w:lineRule="auto"/>
        <w:rPr>
          <w:rFonts w:ascii="Times New Roman" w:eastAsia="Times New Roman" w:hAnsi="Times New Roman" w:cs="Times New Roman"/>
          <w:b/>
          <w:bCs/>
          <w:color w:val="365F91" w:themeColor="accent1" w:themeShade="BF"/>
          <w:sz w:val="24"/>
          <w:szCs w:val="24"/>
          <w:lang w:eastAsia="en-IN" w:bidi="bn-IN"/>
        </w:rPr>
      </w:pPr>
    </w:p>
    <w:p w:rsidR="00DE4175" w:rsidRDefault="00DE4175" w:rsidP="00C87688">
      <w:pPr>
        <w:spacing w:after="0" w:line="240" w:lineRule="auto"/>
        <w:rPr>
          <w:rFonts w:ascii="Times New Roman" w:eastAsia="Times New Roman" w:hAnsi="Times New Roman" w:cs="Times New Roman"/>
          <w:b/>
          <w:bCs/>
          <w:color w:val="365F91" w:themeColor="accent1" w:themeShade="BF"/>
          <w:sz w:val="24"/>
          <w:szCs w:val="24"/>
          <w:lang w:eastAsia="en-IN" w:bidi="bn-IN"/>
        </w:rPr>
      </w:pPr>
    </w:p>
    <w:p w:rsidR="00DE4175" w:rsidRDefault="00DE4175" w:rsidP="00C87688">
      <w:pPr>
        <w:spacing w:after="0" w:line="240" w:lineRule="auto"/>
        <w:rPr>
          <w:rFonts w:ascii="Times New Roman" w:eastAsia="Times New Roman" w:hAnsi="Times New Roman" w:cs="Times New Roman"/>
          <w:b/>
          <w:bCs/>
          <w:color w:val="365F91" w:themeColor="accent1" w:themeShade="BF"/>
          <w:sz w:val="24"/>
          <w:szCs w:val="24"/>
          <w:lang w:eastAsia="en-IN" w:bidi="bn-IN"/>
        </w:rPr>
      </w:pPr>
    </w:p>
    <w:p w:rsidR="00DE4175" w:rsidRDefault="00DE4175" w:rsidP="00C87688">
      <w:pPr>
        <w:spacing w:after="0" w:line="240" w:lineRule="auto"/>
        <w:rPr>
          <w:rFonts w:ascii="Times New Roman" w:eastAsia="Times New Roman" w:hAnsi="Times New Roman" w:cs="Times New Roman"/>
          <w:b/>
          <w:bCs/>
          <w:color w:val="365F91" w:themeColor="accent1" w:themeShade="BF"/>
          <w:sz w:val="24"/>
          <w:szCs w:val="24"/>
          <w:lang w:eastAsia="en-IN" w:bidi="bn-IN"/>
        </w:rPr>
      </w:pPr>
    </w:p>
    <w:p w:rsidR="00DE4175" w:rsidRDefault="00DE4175" w:rsidP="00C87688">
      <w:pPr>
        <w:spacing w:after="0" w:line="240" w:lineRule="auto"/>
        <w:rPr>
          <w:rFonts w:ascii="Times New Roman" w:eastAsia="Times New Roman" w:hAnsi="Times New Roman" w:cs="Times New Roman"/>
          <w:b/>
          <w:bCs/>
          <w:color w:val="365F91" w:themeColor="accent1" w:themeShade="BF"/>
          <w:sz w:val="24"/>
          <w:szCs w:val="24"/>
          <w:lang w:eastAsia="en-IN" w:bidi="bn-IN"/>
        </w:rPr>
      </w:pPr>
    </w:p>
    <w:p w:rsidR="00DE4175" w:rsidRDefault="00DE4175" w:rsidP="00C87688">
      <w:pPr>
        <w:spacing w:after="0" w:line="240" w:lineRule="auto"/>
        <w:rPr>
          <w:rFonts w:ascii="Times New Roman" w:eastAsia="Times New Roman" w:hAnsi="Times New Roman" w:cs="Times New Roman"/>
          <w:b/>
          <w:bCs/>
          <w:color w:val="365F91" w:themeColor="accent1" w:themeShade="BF"/>
          <w:sz w:val="24"/>
          <w:szCs w:val="24"/>
          <w:lang w:eastAsia="en-IN" w:bidi="bn-IN"/>
        </w:rPr>
      </w:pPr>
    </w:p>
    <w:p w:rsidR="00DE4175" w:rsidRDefault="00DE4175" w:rsidP="00C87688">
      <w:pPr>
        <w:spacing w:after="0" w:line="240" w:lineRule="auto"/>
        <w:rPr>
          <w:rFonts w:ascii="Times New Roman" w:eastAsia="Times New Roman" w:hAnsi="Times New Roman" w:cs="Times New Roman"/>
          <w:b/>
          <w:bCs/>
          <w:color w:val="365F91" w:themeColor="accent1" w:themeShade="BF"/>
          <w:sz w:val="24"/>
          <w:szCs w:val="24"/>
          <w:lang w:eastAsia="en-IN" w:bidi="bn-IN"/>
        </w:rPr>
      </w:pPr>
    </w:p>
    <w:p w:rsidR="00DE4175" w:rsidRDefault="00DE4175" w:rsidP="00C87688">
      <w:pPr>
        <w:spacing w:after="0" w:line="240" w:lineRule="auto"/>
        <w:rPr>
          <w:rFonts w:ascii="Times New Roman" w:eastAsia="Times New Roman" w:hAnsi="Times New Roman" w:cs="Times New Roman"/>
          <w:b/>
          <w:bCs/>
          <w:color w:val="365F91" w:themeColor="accent1" w:themeShade="BF"/>
          <w:sz w:val="24"/>
          <w:szCs w:val="24"/>
          <w:lang w:eastAsia="en-IN" w:bidi="bn-IN"/>
        </w:rPr>
      </w:pPr>
    </w:p>
    <w:p w:rsidR="00DE4175" w:rsidRDefault="00DE4175" w:rsidP="00C87688">
      <w:pPr>
        <w:spacing w:after="0" w:line="240" w:lineRule="auto"/>
        <w:rPr>
          <w:rFonts w:ascii="Times New Roman" w:eastAsia="Times New Roman" w:hAnsi="Times New Roman" w:cs="Times New Roman"/>
          <w:b/>
          <w:bCs/>
          <w:color w:val="365F91" w:themeColor="accent1" w:themeShade="BF"/>
          <w:sz w:val="24"/>
          <w:szCs w:val="24"/>
          <w:lang w:eastAsia="en-IN" w:bidi="bn-IN"/>
        </w:rPr>
      </w:pPr>
    </w:p>
    <w:p w:rsidR="00DE4175" w:rsidRDefault="00DE4175" w:rsidP="00C87688">
      <w:pPr>
        <w:spacing w:after="0" w:line="240" w:lineRule="auto"/>
        <w:rPr>
          <w:rFonts w:ascii="Times New Roman" w:eastAsia="Times New Roman" w:hAnsi="Times New Roman" w:cs="Times New Roman"/>
          <w:b/>
          <w:bCs/>
          <w:color w:val="365F91" w:themeColor="accent1" w:themeShade="BF"/>
          <w:sz w:val="24"/>
          <w:szCs w:val="24"/>
          <w:lang w:eastAsia="en-IN" w:bidi="bn-IN"/>
        </w:rPr>
      </w:pPr>
    </w:p>
    <w:p w:rsidR="00DE4175" w:rsidRDefault="00DE4175" w:rsidP="00C87688">
      <w:pPr>
        <w:spacing w:after="0" w:line="240" w:lineRule="auto"/>
        <w:rPr>
          <w:rFonts w:ascii="Times New Roman" w:eastAsia="Times New Roman" w:hAnsi="Times New Roman" w:cs="Times New Roman"/>
          <w:b/>
          <w:bCs/>
          <w:color w:val="365F91" w:themeColor="accent1" w:themeShade="BF"/>
          <w:sz w:val="24"/>
          <w:szCs w:val="24"/>
          <w:lang w:eastAsia="en-IN" w:bidi="bn-IN"/>
        </w:rPr>
      </w:pPr>
    </w:p>
    <w:p w:rsidR="00DE4175" w:rsidRDefault="00DE4175" w:rsidP="00C87688">
      <w:pPr>
        <w:spacing w:after="0" w:line="240" w:lineRule="auto"/>
        <w:rPr>
          <w:rFonts w:ascii="Times New Roman" w:eastAsia="Times New Roman" w:hAnsi="Times New Roman" w:cs="Times New Roman"/>
          <w:b/>
          <w:bCs/>
          <w:color w:val="365F91" w:themeColor="accent1" w:themeShade="BF"/>
          <w:sz w:val="24"/>
          <w:szCs w:val="24"/>
          <w:lang w:eastAsia="en-IN" w:bidi="bn-IN"/>
        </w:rPr>
      </w:pPr>
    </w:p>
    <w:p w:rsidR="00DE4175" w:rsidRDefault="00DE4175" w:rsidP="00C87688">
      <w:pPr>
        <w:spacing w:after="0" w:line="240" w:lineRule="auto"/>
        <w:rPr>
          <w:rFonts w:ascii="Times New Roman" w:eastAsia="Times New Roman" w:hAnsi="Times New Roman" w:cs="Times New Roman"/>
          <w:b/>
          <w:bCs/>
          <w:color w:val="365F91" w:themeColor="accent1" w:themeShade="BF"/>
          <w:sz w:val="24"/>
          <w:szCs w:val="24"/>
          <w:lang w:eastAsia="en-IN" w:bidi="bn-IN"/>
        </w:rPr>
      </w:pPr>
    </w:p>
    <w:p w:rsidR="00970E9B" w:rsidRPr="003167BB" w:rsidRDefault="00970E9B" w:rsidP="00970E9B">
      <w:pPr>
        <w:spacing w:after="0" w:line="240" w:lineRule="auto"/>
        <w:jc w:val="center"/>
        <w:rPr>
          <w:rFonts w:ascii="Times New Roman" w:eastAsia="Times New Roman" w:hAnsi="Times New Roman" w:cs="Times New Roman"/>
          <w:b/>
          <w:bCs/>
          <w:color w:val="365F91" w:themeColor="accent1" w:themeShade="BF"/>
          <w:sz w:val="24"/>
          <w:szCs w:val="24"/>
          <w:lang w:eastAsia="en-IN" w:bidi="bn-IN"/>
        </w:rPr>
      </w:pPr>
      <w:r w:rsidRPr="003167BB">
        <w:rPr>
          <w:rFonts w:ascii="Times New Roman" w:eastAsia="Times New Roman" w:hAnsi="Times New Roman" w:cs="Times New Roman"/>
          <w:b/>
          <w:bCs/>
          <w:color w:val="365F91" w:themeColor="accent1" w:themeShade="BF"/>
          <w:sz w:val="24"/>
          <w:szCs w:val="24"/>
          <w:lang w:eastAsia="en-IN" w:bidi="bn-IN"/>
        </w:rPr>
        <w:t>Figure 2</w:t>
      </w:r>
    </w:p>
    <w:p w:rsidR="009A1F71" w:rsidRPr="00990936" w:rsidRDefault="008210AC" w:rsidP="00970E9B">
      <w:pPr>
        <w:pStyle w:val="BodyText"/>
        <w:jc w:val="left"/>
        <w:rPr>
          <w:bCs/>
          <w:szCs w:val="24"/>
        </w:rPr>
      </w:pPr>
      <w:r w:rsidRPr="008210AC">
        <w:rPr>
          <w:bCs/>
          <w:noProof/>
          <w:szCs w:val="24"/>
          <w:lang w:val="en-IN" w:eastAsia="en-IN" w:bidi="bn-IN"/>
        </w:rPr>
        <w:drawing>
          <wp:inline distT="0" distB="0" distL="0" distR="0">
            <wp:extent cx="6943725" cy="2847975"/>
            <wp:effectExtent l="19050" t="0" r="9525"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A776E" w:rsidRDefault="00FA776E" w:rsidP="009E4AB8">
      <w:pPr>
        <w:pStyle w:val="BodyText"/>
        <w:rPr>
          <w:szCs w:val="24"/>
        </w:rPr>
      </w:pPr>
      <w:bookmarkStart w:id="1" w:name="RANGE!A1:H18"/>
      <w:bookmarkEnd w:id="1"/>
    </w:p>
    <w:p w:rsidR="009E4AB8" w:rsidRPr="003E4BA6" w:rsidRDefault="00B063EC" w:rsidP="00B063EC">
      <w:pPr>
        <w:pStyle w:val="BodyText"/>
        <w:tabs>
          <w:tab w:val="left" w:pos="567"/>
        </w:tabs>
        <w:rPr>
          <w:szCs w:val="24"/>
        </w:rPr>
      </w:pPr>
      <w:r w:rsidRPr="003E4BA6">
        <w:rPr>
          <w:szCs w:val="24"/>
        </w:rPr>
        <w:t xml:space="preserve">10.   </w:t>
      </w:r>
      <w:r w:rsidR="009E4AB8" w:rsidRPr="003E4BA6">
        <w:rPr>
          <w:b/>
          <w:bCs/>
          <w:color w:val="943634" w:themeColor="accent2" w:themeShade="BF"/>
          <w:szCs w:val="24"/>
        </w:rPr>
        <w:t>Additionally, from Tables 4 &amp; 5 presented below the following are stated:</w:t>
      </w:r>
    </w:p>
    <w:p w:rsidR="0006716B" w:rsidRPr="003E4BA6" w:rsidRDefault="0006716B" w:rsidP="009E4AB8">
      <w:pPr>
        <w:pStyle w:val="BodyText"/>
        <w:rPr>
          <w:szCs w:val="24"/>
        </w:rPr>
      </w:pPr>
    </w:p>
    <w:p w:rsidR="000F23B8" w:rsidRPr="003E4BA6" w:rsidRDefault="000F23B8" w:rsidP="000F23B8">
      <w:pPr>
        <w:pStyle w:val="BodyText"/>
        <w:ind w:left="273" w:firstLine="720"/>
        <w:rPr>
          <w:b/>
          <w:bCs/>
          <w:szCs w:val="24"/>
        </w:rPr>
      </w:pPr>
      <w:r w:rsidRPr="003E4BA6">
        <w:rPr>
          <w:b/>
          <w:bCs/>
          <w:szCs w:val="24"/>
        </w:rPr>
        <w:t>India’s Major Merchandise Exports to BENIN:</w:t>
      </w:r>
    </w:p>
    <w:p w:rsidR="00E83994" w:rsidRPr="003E4BA6" w:rsidRDefault="00FE1B6E" w:rsidP="00F57DFB">
      <w:pPr>
        <w:pStyle w:val="isselectedend"/>
        <w:numPr>
          <w:ilvl w:val="0"/>
          <w:numId w:val="14"/>
        </w:numPr>
        <w:jc w:val="both"/>
      </w:pPr>
      <w:r w:rsidRPr="003E4BA6">
        <w:t xml:space="preserve">      </w:t>
      </w:r>
      <w:r w:rsidR="00E83994" w:rsidRPr="003E4BA6">
        <w:t>During FY 2024–25, India’s merchandise exports to BENIN were strongly concentrated in a limited number of commodity groups, with Rice (Other than Basmoti) emerging as the overwhelmingly dominant export item among the commodities covered in Table 4. Exports of Rice (Other than Basmoti) increased substantially from US$ 442.97 million in FY 2020–21 to US$ 1,025.38 million in FY 2024–25, representing an increase of approximately 131.47% over the five-year period. The commodity recorded a particularly strong expansion in FY 2024–25, when its export value almost doubled from US$ 512.84 million in FY 2023–24 to US$ 1,025.38 million, registering an annual growth of 99.94%. Its share in India’s total exports to BENIN also increased significantly from 79.79% in FY 2020–21 to 85.81% in FY 2024–25. This substantial increase indicates that rice exports constituted the principal driver of India’s merchandise export performance in the BENIN market during FY 2024–25. The sharp rise in both value and share suggests that the BENIN market remained highly dependent on Indian rice supplies among the major commodities covered in the table.</w:t>
      </w:r>
    </w:p>
    <w:p w:rsidR="00E83994" w:rsidRPr="003E4BA6" w:rsidRDefault="00FE1B6E" w:rsidP="00F57DFB">
      <w:pPr>
        <w:pStyle w:val="isselectedend"/>
        <w:numPr>
          <w:ilvl w:val="0"/>
          <w:numId w:val="14"/>
        </w:numPr>
        <w:jc w:val="both"/>
      </w:pPr>
      <w:r w:rsidRPr="003E4BA6">
        <w:t xml:space="preserve">      </w:t>
      </w:r>
      <w:r w:rsidR="00E83994" w:rsidRPr="003E4BA6">
        <w:t>Drug Formulations and Biologicals constituted the second-largest export item in FY 2024–25, with exports valued at US$ 25.30 million, compared with US$ 23.32 million in FY 2020–21. The commodity recorded a mixed performance over the period, declining by 2.49% in FY 2021–22, increasing by 31.18% in FY 2022–23, and subsequently declining by 30.04% in FY 2023–24 before recovering by 21.23% in FY 2024–25. Despite this recovery, its share in India’s total exports to BENIN declined from 4.20% in FY 2020–21 to 2.12% in FY 2024–25. Thus, although pharmaceutical exports remained an important component of India’s export basket, their relative contribution diminished because the growth in rice exports was substantially stronger.</w:t>
      </w:r>
    </w:p>
    <w:p w:rsidR="00E83994" w:rsidRPr="003E4BA6" w:rsidRDefault="00FE1B6E" w:rsidP="00F57DFB">
      <w:pPr>
        <w:pStyle w:val="isselectedend"/>
        <w:numPr>
          <w:ilvl w:val="0"/>
          <w:numId w:val="14"/>
        </w:numPr>
        <w:jc w:val="both"/>
      </w:pPr>
      <w:r w:rsidRPr="003E4BA6">
        <w:t xml:space="preserve">      </w:t>
      </w:r>
      <w:r w:rsidR="00E83994" w:rsidRPr="003E4BA6">
        <w:t>Industrial Machinery for Dairy and related purposes recorded exports of US$ 22.11 million in FY 2024–25, compared with US$ 20.13 million in FY 2020–21. However, the commodity experienced considerable fluctuations during the period. Exports increased from US$ 21.47 million in FY 2021–22 to US$ 43.24 million in FY 2022–23, representing annual growth of 101.40%, before declining marginally by 1.16% in FY 2023–24 and then falling sharply by 48.27% in FY 2024–25. Its share consequently declined from 5.68% in FY 2023–24 to 1.85% in FY 2024–25. This indicates that the commodity had experienced a temporary expansion in the BENIN market but did not maintain the exceptionally high level achieved in FY 2022–23.</w:t>
      </w:r>
    </w:p>
    <w:p w:rsidR="00E83994" w:rsidRPr="003E4BA6" w:rsidRDefault="00FE1B6E" w:rsidP="00F57DFB">
      <w:pPr>
        <w:pStyle w:val="isselectedend"/>
        <w:numPr>
          <w:ilvl w:val="0"/>
          <w:numId w:val="14"/>
        </w:numPr>
        <w:jc w:val="both"/>
      </w:pPr>
      <w:r w:rsidRPr="003E4BA6">
        <w:lastRenderedPageBreak/>
        <w:t xml:space="preserve">      </w:t>
      </w:r>
      <w:r w:rsidR="00E83994" w:rsidRPr="003E4BA6">
        <w:t>Two- and Three-Wheelers registered exports of US$ 13.99 million in FY 2024–25, compared with US$ 13.16 million in FY 2020–21. The item displayed significant annual fluctuations, with exports increasing by 26.90% in FY 2021–22, declining by 42.28% in FY 2022–23 and by 13.90% in FY 2023–24, before recovering strongly by 68.59% in FY 2024–25. Its share in total exports, however, remained relatively small, increasing only marginally from 2.37% in FY 2020–21 to 1.17% in FY 2024–25 because of the much faster expansion of the overall export basket.</w:t>
      </w:r>
    </w:p>
    <w:p w:rsidR="00E83994" w:rsidRPr="003E4BA6" w:rsidRDefault="00FE1B6E" w:rsidP="00F57DFB">
      <w:pPr>
        <w:pStyle w:val="isselectedend"/>
        <w:numPr>
          <w:ilvl w:val="0"/>
          <w:numId w:val="14"/>
        </w:numPr>
        <w:jc w:val="both"/>
      </w:pPr>
      <w:r w:rsidRPr="003E4BA6">
        <w:t xml:space="preserve">      </w:t>
      </w:r>
      <w:r w:rsidR="00E83994" w:rsidRPr="003E4BA6">
        <w:t>Moulded and Extruded Goods increased substantially from US$ 0.68 million in FY 2020–21 to US$ 9.08 million in FY 2024–25. The commodity recorded exceptionally high growth during FY 2021–22 and FY 2022–23, with annual increases of 411.76% and 269.54%, respectively. Although exports declined by 33.67% in FY 2023–24, they recovered by 6.47% in FY 2024–25. Its share increased from only 0.12% in FY 2020–21 to 0.76% in FY 2024–25, indicating gradual development of this product segment despite its relatively small absolute value.</w:t>
      </w:r>
    </w:p>
    <w:p w:rsidR="00E83994" w:rsidRPr="003E4BA6" w:rsidRDefault="00FE1B6E" w:rsidP="00F57DFB">
      <w:pPr>
        <w:pStyle w:val="isselectedend"/>
        <w:numPr>
          <w:ilvl w:val="0"/>
          <w:numId w:val="14"/>
        </w:numPr>
        <w:jc w:val="both"/>
      </w:pPr>
      <w:r w:rsidRPr="003E4BA6">
        <w:t xml:space="preserve">      </w:t>
      </w:r>
      <w:r w:rsidR="00E83994" w:rsidRPr="003E4BA6">
        <w:t>Electric Machinery and Equipment recorded exports of US$ 8.55 million in FY 2024–25, compared with US$ 3.60 million in FY 2020–21. The commodity experienced considerable volatility, including a decline of 53.61% in FY 2021–22, followed by strong growth of 240.72% in FY 2023–24. However, exports declined by 5.42% in FY 2024–25. Its share remained below 1% throughout most of the period and stood at 0.72% in FY 2024–25.</w:t>
      </w:r>
    </w:p>
    <w:p w:rsidR="00E83994" w:rsidRPr="003E4BA6" w:rsidRDefault="00FE1B6E" w:rsidP="00F57DFB">
      <w:pPr>
        <w:pStyle w:val="isselectedend"/>
        <w:numPr>
          <w:ilvl w:val="0"/>
          <w:numId w:val="14"/>
        </w:numPr>
        <w:jc w:val="both"/>
      </w:pPr>
      <w:r w:rsidRPr="003E4BA6">
        <w:t xml:space="preserve">      </w:t>
      </w:r>
      <w:r w:rsidR="00E83994" w:rsidRPr="003E4BA6">
        <w:t>Cotton Fabrics, Made-ups, etc. represented a comparatively significant export item during the earlier years but experienced a pronounced decline in FY 2024–25. Exports increased from US$ 12.45 million in FY 2020–21 to US$ 69.74 million in FY 2022–23, with annual growth of 171.81% in FY 2021–22 and 106.09% in FY 2022–23. However, exports declined by 39.45% in FY 2023–24 and fell further by 82.47% in FY 2024–25 to only US$ 7.40 million. Consequently, its share declined sharply from 7.81% in FY 2022–23 to 0.62% in FY 2024–25. This represents one of the most significant structural reductions among the major export commodities listed in Table 4.</w:t>
      </w:r>
    </w:p>
    <w:p w:rsidR="00E83994" w:rsidRPr="003E4BA6" w:rsidRDefault="00FE1B6E" w:rsidP="00F57DFB">
      <w:pPr>
        <w:pStyle w:val="isselectedend"/>
        <w:numPr>
          <w:ilvl w:val="0"/>
          <w:numId w:val="14"/>
        </w:numPr>
        <w:jc w:val="both"/>
      </w:pPr>
      <w:r w:rsidRPr="003E4BA6">
        <w:t xml:space="preserve">      </w:t>
      </w:r>
      <w:r w:rsidR="00E83994" w:rsidRPr="003E4BA6">
        <w:t>Miscellaneous Processed Items also showed a fluctuating export pattern. Exports increased from US$ 3.92 million in FY 2020–21 to US$ 14.48 million in FY 2022–23 before declining to US$ 7.36 million in FY 2024–25. Its share in total exports declined from 1.62% in FY 2022–23 to 0.62% in FY 2024–25.</w:t>
      </w:r>
    </w:p>
    <w:p w:rsidR="00E83994" w:rsidRPr="003E4BA6" w:rsidRDefault="00FE1B6E" w:rsidP="00F57DFB">
      <w:pPr>
        <w:pStyle w:val="isselectedend"/>
        <w:numPr>
          <w:ilvl w:val="0"/>
          <w:numId w:val="14"/>
        </w:numPr>
        <w:jc w:val="both"/>
      </w:pPr>
      <w:r w:rsidRPr="003E4BA6">
        <w:t xml:space="preserve">      </w:t>
      </w:r>
      <w:r w:rsidR="00E83994" w:rsidRPr="003E4BA6">
        <w:t>Products of Iron and Steel increased sharply from US$ 0.62 million in FY 2020–21 to US$ 29.50 million in FY 2022–23, supported by exceptionally high annual growth of 322.58% in FY 2021–22 and 1,025.95% in FY 2022–23. However, exports subsequently declined by 58.07% in FY 2023–24 and by another 44.14% in FY 2024–25, reaching US$ 6.91 million. Its share correspondingly fell from 3.30% in FY 2022–23 to only 0.58% in FY 2024–25.</w:t>
      </w:r>
    </w:p>
    <w:p w:rsidR="00E83994" w:rsidRPr="003E4BA6" w:rsidRDefault="00FE1B6E" w:rsidP="00F57DFB">
      <w:pPr>
        <w:pStyle w:val="isselectedend"/>
        <w:numPr>
          <w:ilvl w:val="0"/>
          <w:numId w:val="14"/>
        </w:numPr>
        <w:jc w:val="both"/>
      </w:pPr>
      <w:r w:rsidRPr="003E4BA6">
        <w:t xml:space="preserve">      </w:t>
      </w:r>
      <w:r w:rsidR="00E83994" w:rsidRPr="003E4BA6">
        <w:t>Cereal Preparations increased from US$ 2.39 million in FY 2020–21 to US$ 5.34 million in FY 2024–25. Despite strong growth in FY 2021–22 and FY 2022–23, exports subsequently declined in the following two years. Its share remained modest, at 0.45% of India’s total exports to BENIN in FY 2024–25.</w:t>
      </w:r>
    </w:p>
    <w:p w:rsidR="00E83994" w:rsidRPr="003E4BA6" w:rsidRDefault="00FE1B6E" w:rsidP="00F57DFB">
      <w:pPr>
        <w:pStyle w:val="NormalWeb"/>
        <w:numPr>
          <w:ilvl w:val="0"/>
          <w:numId w:val="14"/>
        </w:numPr>
        <w:jc w:val="both"/>
      </w:pPr>
      <w:r w:rsidRPr="003E4BA6">
        <w:t xml:space="preserve">      </w:t>
      </w:r>
      <w:r w:rsidR="00E83994" w:rsidRPr="003E4BA6">
        <w:t>Overall, Table 4 demonstrates that India’s export basket to BENIN became considerably more concentrated in FY 2024–25. Total exports increased from US$ 555.20 million in FY 2020–21 to US$ 1,194.98 million in FY 2024–25, representing an increase of approximately 115.23%. However, the expansion was overwhelmingly driven by Rice (Other than Basmoti), whose value reached US$ 1,025.38 million and accounted for 85.81% of total exports in FY 2024–25. The remaining listed commodities together accounted for a substantially smaller proportion of total exports. Therefore, while India’s export performance in the BENIN market strengthened significantly, the commodity structure indicates a high degree of concentration in rice, with pharmaceuticals, dairy-related machinery, two- and three-wheelers, moulded and extruded goods, electrical machinery, cotton products, miscellaneous processed items, iron and steel products, and cereal preparations constituting comparatively smaller components. This concentration highlights both the strong competitive position of Indian rice in the BENIN market and the potential for further diversification of India’s export basket through greater penetration of pharmaceutical products, engineering goods, transport equipment, electrical machinery, processed food products and other manufactured commodities.</w:t>
      </w:r>
    </w:p>
    <w:p w:rsidR="0027560C" w:rsidRPr="003E4BA6" w:rsidRDefault="000F23B8" w:rsidP="000F23B8">
      <w:pPr>
        <w:pStyle w:val="BodyText"/>
        <w:tabs>
          <w:tab w:val="left" w:pos="567"/>
        </w:tabs>
        <w:spacing w:after="120"/>
        <w:rPr>
          <w:b/>
          <w:bCs/>
          <w:szCs w:val="24"/>
        </w:rPr>
      </w:pPr>
      <w:r w:rsidRPr="003E4BA6">
        <w:rPr>
          <w:szCs w:val="24"/>
        </w:rPr>
        <w:lastRenderedPageBreak/>
        <w:tab/>
      </w:r>
      <w:r w:rsidRPr="003E4BA6">
        <w:rPr>
          <w:szCs w:val="24"/>
        </w:rPr>
        <w:tab/>
      </w:r>
      <w:r w:rsidRPr="003E4BA6">
        <w:rPr>
          <w:b/>
          <w:bCs/>
          <w:szCs w:val="24"/>
        </w:rPr>
        <w:t>India’s Major Merchandise Imports from BENIN:</w:t>
      </w:r>
    </w:p>
    <w:p w:rsidR="000F23B8" w:rsidRPr="003E4BA6" w:rsidRDefault="00FE1B6E" w:rsidP="00F57DFB">
      <w:pPr>
        <w:pStyle w:val="isselectedend"/>
        <w:numPr>
          <w:ilvl w:val="0"/>
          <w:numId w:val="15"/>
        </w:numPr>
        <w:jc w:val="both"/>
      </w:pPr>
      <w:r w:rsidRPr="003E4BA6">
        <w:t xml:space="preserve">      </w:t>
      </w:r>
      <w:r w:rsidR="000F23B8" w:rsidRPr="003E4BA6">
        <w:t>During FY 2024–25, India’s merchandise imports from BENIN were concentrated primarily in Other Oil Seeds, Vegetable Oils, Plywood and Allied Products, Oil Meals, Other Wood and Wood Products, and a number of other agricultural and resource-based commodities, as presented in Table 5. Other Oil Seeds emerged as the largest import item among the commodities covered in the table, with imports valued at US$ 52.27 million in FY 2024–25. Its import value increased from US$ 38.02 million in FY 2023–24 to US$ 52.27 million in FY 2024–25, representing annual growth of 37.49%. The share of Other Oil Seeds in India’s total imports from BENIN also increased significantly from 17.72% in FY 2023–24 to 40.05% in FY 2024–25. This substantial increase indicates that oil seeds became the principal component of India’s import basket from BENIN in FY 2024–25.</w:t>
      </w:r>
    </w:p>
    <w:p w:rsidR="000F23B8" w:rsidRPr="003E4BA6" w:rsidRDefault="00FE1B6E" w:rsidP="00F57DFB">
      <w:pPr>
        <w:pStyle w:val="isselectedend"/>
        <w:numPr>
          <w:ilvl w:val="0"/>
          <w:numId w:val="15"/>
        </w:numPr>
        <w:jc w:val="both"/>
      </w:pPr>
      <w:r w:rsidRPr="003E4BA6">
        <w:t xml:space="preserve">      </w:t>
      </w:r>
      <w:r w:rsidR="000F23B8" w:rsidRPr="003E4BA6">
        <w:t>Vegetable Oils constituted the second-largest import item in FY 2024–25, with imports increasing from US$ 9.01 million in FY 2023–24 to US$ 18.05 million in FY 2024–25, representing a strong annual growth of 100.38%. Over the longer period, imports of Vegetable Oils increased from only US$ 1.27 million in FY 2020–21 to US$ 18.05 million in FY 2024–25. The commodity’s share in total imports rose substantially from 0.39% in FY 2020–21 to 13.83% in FY 2024–25. The exceptionally high growth recorded in FY 2024–25 indicates a significant strengthening of this product category in India’s import relationship with BENIN.</w:t>
      </w:r>
    </w:p>
    <w:p w:rsidR="000F23B8" w:rsidRPr="003E4BA6" w:rsidRDefault="00FE1B6E" w:rsidP="00F57DFB">
      <w:pPr>
        <w:pStyle w:val="isselectedend"/>
        <w:numPr>
          <w:ilvl w:val="0"/>
          <w:numId w:val="15"/>
        </w:numPr>
        <w:jc w:val="both"/>
      </w:pPr>
      <w:r w:rsidRPr="003E4BA6">
        <w:t xml:space="preserve">      </w:t>
      </w:r>
      <w:r w:rsidR="000F23B8" w:rsidRPr="003E4BA6">
        <w:t>Plywood and Allied Products recorded imports of US$ 15.68 million in FY 2024–25, compared with US$ 21.80 million in FY 2020–21. Imports increased during FY 2021–22 and FY 2022–23, reaching US$ 29.94 million in FY 2022–23, before declining to US$ 20.16 million in FY 2023–24 and further to US$ 15.68 million in FY 2024–25. The latest annual growth rate was -22.23%. Despite the decline in absolute import value, its share in total imports increased from 6.69% in FY 2020–21 to 12.01% in FY 2024–25, reflecting the much sharper contraction in India’s overall imports from BENIN during the period.</w:t>
      </w:r>
    </w:p>
    <w:p w:rsidR="000F23B8" w:rsidRPr="003E4BA6" w:rsidRDefault="00FE1B6E" w:rsidP="00F57DFB">
      <w:pPr>
        <w:pStyle w:val="isselectedend"/>
        <w:numPr>
          <w:ilvl w:val="0"/>
          <w:numId w:val="15"/>
        </w:numPr>
        <w:jc w:val="both"/>
      </w:pPr>
      <w:r w:rsidRPr="003E4BA6">
        <w:t xml:space="preserve">      </w:t>
      </w:r>
      <w:r w:rsidR="000F23B8" w:rsidRPr="003E4BA6">
        <w:t>Oil Meals recorded imports of US$ 12.65 million in FY 2024–25, compared with US$ 8.67 million in FY 2020–21. The commodity experienced substantial fluctuations, with imports increasing by 107.27% in FY 2021–22, declining moderately in FY 2022–23 and FY 2023–24, and subsequently recovering by 34.30% in FY 2024–25. Its share in total imports increased from 2.66% in FY 2020–21 to 9.69% in FY 2024–25. This indicates that Oil Meals became a more important component of India’s import basket from BENIN in the latest year.</w:t>
      </w:r>
    </w:p>
    <w:p w:rsidR="000F23B8" w:rsidRPr="003E4BA6" w:rsidRDefault="00FE1B6E" w:rsidP="00F57DFB">
      <w:pPr>
        <w:pStyle w:val="isselectedend"/>
        <w:numPr>
          <w:ilvl w:val="0"/>
          <w:numId w:val="15"/>
        </w:numPr>
        <w:jc w:val="both"/>
      </w:pPr>
      <w:r w:rsidRPr="003E4BA6">
        <w:t xml:space="preserve">      </w:t>
      </w:r>
      <w:r w:rsidR="000F23B8" w:rsidRPr="003E4BA6">
        <w:t>Other Wood and Wood Products registered imports of US$ 10.68 million in FY 2024–25, compared with US$ 9.93 million in FY 2020–21. Imports increased to US$ 14.40 million in FY 2021–22, declined to US$ 11.72 million in FY 2022–23, increased again to US$ 13.55 million in FY 2023–24 and subsequently declined by 21.17% to US$ 10.68 million in FY 2024–25. Its share in total imports nevertheless increased from 3.05% in FY 2020–21 to 8.18% in FY 2024–25.</w:t>
      </w:r>
    </w:p>
    <w:p w:rsidR="000F23B8" w:rsidRPr="003E4BA6" w:rsidRDefault="00FE1B6E" w:rsidP="00F57DFB">
      <w:pPr>
        <w:pStyle w:val="isselectedend"/>
        <w:numPr>
          <w:ilvl w:val="0"/>
          <w:numId w:val="15"/>
        </w:numPr>
        <w:jc w:val="both"/>
      </w:pPr>
      <w:r w:rsidRPr="003E4BA6">
        <w:t xml:space="preserve">      </w:t>
      </w:r>
      <w:r w:rsidR="000F23B8" w:rsidRPr="003E4BA6">
        <w:t>Cashew was historically the dominant commodity in India’s imports from BENIN, but its position changed dramatically during the period under review. Imports of Cashew increased from US$ 176.63 million in FY 2020–21 to US$ 271.03 million in FY 2022–23, with its share rising to 59.89% of total imports in FY 2022–23. However, imports declined sharply to US$ 121.72 million in FY 2023–24 and collapsed further to only US$ 8.71 million in FY 2024–25, representing an annual decline of 92.85%. Correspondingly, its share in total imports fell from 56.73% in FY 2023–24 to only 6.67% in FY 2024–25. This represents the most significant structural change in India’s import basket from BENIN and substantially altered the composition of bilateral trade in the latest year.</w:t>
      </w:r>
    </w:p>
    <w:p w:rsidR="000F23B8" w:rsidRPr="003E4BA6" w:rsidRDefault="00FE1B6E" w:rsidP="00F57DFB">
      <w:pPr>
        <w:pStyle w:val="isselectedend"/>
        <w:numPr>
          <w:ilvl w:val="0"/>
          <w:numId w:val="15"/>
        </w:numPr>
        <w:jc w:val="both"/>
      </w:pPr>
      <w:r w:rsidRPr="003E4BA6">
        <w:t xml:space="preserve">      </w:t>
      </w:r>
      <w:r w:rsidR="000F23B8" w:rsidRPr="003E4BA6">
        <w:t>Aluminium and Aluminium Products recorded a notable increase in imports during FY 2024–25, rising from US$ 1.11 million in FY 2023–24 to US$ 7.19 million, representing annual growth of 547.66%. Its share in total imports increased from 0.52% to 5.51%. Although the absolute value remained relatively modest compared with Other Oil Seeds or Vegetable Oils, the very high annual growth rate indicates a significant expansion in this product category.</w:t>
      </w:r>
    </w:p>
    <w:p w:rsidR="00DE4175" w:rsidRDefault="00DE4175" w:rsidP="00DE4175">
      <w:pPr>
        <w:pStyle w:val="isselectedend"/>
        <w:ind w:left="1080"/>
        <w:jc w:val="both"/>
      </w:pPr>
    </w:p>
    <w:p w:rsidR="00DE4175" w:rsidRDefault="00DE4175" w:rsidP="00DE4175">
      <w:pPr>
        <w:pStyle w:val="isselectedend"/>
        <w:jc w:val="both"/>
      </w:pPr>
    </w:p>
    <w:p w:rsidR="000F23B8" w:rsidRPr="003E4BA6" w:rsidRDefault="00FE1B6E" w:rsidP="00F57DFB">
      <w:pPr>
        <w:pStyle w:val="isselectedend"/>
        <w:numPr>
          <w:ilvl w:val="0"/>
          <w:numId w:val="15"/>
        </w:numPr>
        <w:jc w:val="both"/>
      </w:pPr>
      <w:r w:rsidRPr="003E4BA6">
        <w:t xml:space="preserve">      </w:t>
      </w:r>
      <w:r w:rsidR="000F23B8" w:rsidRPr="003E4BA6">
        <w:t>Cotton Raw including Waste also recorded strong percentage growth in FY 2024–25, with imports rising from US$ 0.15 million in FY 2023–24 to US$ 2.84 million, corresponding to annual growth of 1,795.43%. Its share increased from 0.07% to 2.18%. The exceptionally high growth rate should, however, be interpreted in the context of the very low base in FY 2023–24.</w:t>
      </w:r>
    </w:p>
    <w:p w:rsidR="000F23B8" w:rsidRPr="003E4BA6" w:rsidRDefault="00FE1B6E" w:rsidP="00F57DFB">
      <w:pPr>
        <w:pStyle w:val="isselectedend"/>
        <w:numPr>
          <w:ilvl w:val="0"/>
          <w:numId w:val="15"/>
        </w:numPr>
        <w:jc w:val="both"/>
      </w:pPr>
      <w:r w:rsidRPr="003E4BA6">
        <w:t xml:space="preserve">      </w:t>
      </w:r>
      <w:r w:rsidR="000F23B8" w:rsidRPr="003E4BA6">
        <w:t>Cashew Nut Shell Liquid remained a relatively small import item, with imports increasing marginally from US$ 0.62 million in FY 2023–24 to US$ 0.65 million in FY 2024–25, representing annual growth of 5.15%. Its share remained limited at 0.50% of total imports.</w:t>
      </w:r>
    </w:p>
    <w:p w:rsidR="000F23B8" w:rsidRPr="003E4BA6" w:rsidRDefault="00FE1B6E" w:rsidP="00F57DFB">
      <w:pPr>
        <w:pStyle w:val="isselectedend"/>
        <w:numPr>
          <w:ilvl w:val="0"/>
          <w:numId w:val="15"/>
        </w:numPr>
        <w:jc w:val="both"/>
      </w:pPr>
      <w:r w:rsidRPr="003E4BA6">
        <w:t xml:space="preserve">      </w:t>
      </w:r>
      <w:r w:rsidR="000F23B8" w:rsidRPr="003E4BA6">
        <w:t>Industrial Machinery for Dairy and related purposes appeared as a relatively small but newly emerging import category in FY 2024–25, with imports recorded at US$ 0.49 million. Its share in total imports was 0.38%. Although the absolute value was limited, its inclusion among the major listed commodities indicates some movement beyond the predominantly agricultural and resource-based structure of imports.</w:t>
      </w:r>
    </w:p>
    <w:p w:rsidR="000F23B8" w:rsidRPr="003E4BA6" w:rsidRDefault="00FE1B6E" w:rsidP="00F57DFB">
      <w:pPr>
        <w:pStyle w:val="isselectedend"/>
        <w:numPr>
          <w:ilvl w:val="0"/>
          <w:numId w:val="15"/>
        </w:numPr>
        <w:jc w:val="both"/>
      </w:pPr>
      <w:r w:rsidRPr="003E4BA6">
        <w:t xml:space="preserve">      </w:t>
      </w:r>
      <w:r w:rsidR="000F23B8" w:rsidRPr="003E4BA6">
        <w:t>Overall, Table 5 reveals a major restructuring of India’s import basket from BENIN over the five-year period. Total imports declined substantially from US$ 325.97 million in FY 2020–21 to US$ 130.51 million in FY 2024–25, representing a reduction of approximately 59.96%. The contraction was particularly pronounced in FY 2023–24 and FY 2024–25, when total imports declined by 52.59% and 39.17%, respectively. The most important factor behind this reduction was the extraordinary fall in Cashew imports, from US$ 271.03 million in FY 2022–23 to only US$ 8.71 million in FY 2024–25. At the same time, Other Oil Seeds, Vegetable Oils, Plywood and Allied Products, Oil Meals, and Other Wood and Wood Products emerged as increasingly important components of the import basket.</w:t>
      </w:r>
    </w:p>
    <w:p w:rsidR="000F23B8" w:rsidRPr="003E4BA6" w:rsidRDefault="00FE1B6E" w:rsidP="00F57DFB">
      <w:pPr>
        <w:pStyle w:val="isselectedend"/>
        <w:numPr>
          <w:ilvl w:val="0"/>
          <w:numId w:val="15"/>
        </w:numPr>
        <w:jc w:val="both"/>
      </w:pPr>
      <w:r w:rsidRPr="003E4BA6">
        <w:t xml:space="preserve">      </w:t>
      </w:r>
      <w:r w:rsidR="000F23B8" w:rsidRPr="003E4BA6">
        <w:t>The data therefore indicate a significant shift from a cashew-dominated import structure towards a more diversified, although still predominantly agricultural and resource-based, import composition. In FY 2024–25, Other Oil Seeds alone accounted for 40.05% of India’s total imports from BENIN, followed by Vegetable Oils at 13.83%, Plywood and Allied Products at 12.01%, Oil Meals at 9.69%, Other Wood and Wood Products at 8.18%, and Cashew at 6.67%. This pattern demonstrates that India’s import engagement with BENIN continues to be closely associated with agricultural commodities, oilseeds, vegetable oils and forestry-related products.</w:t>
      </w:r>
    </w:p>
    <w:p w:rsidR="000F23B8" w:rsidRPr="003E4BA6" w:rsidRDefault="00FE1B6E" w:rsidP="00F57DFB">
      <w:pPr>
        <w:pStyle w:val="isselectedend"/>
        <w:numPr>
          <w:ilvl w:val="0"/>
          <w:numId w:val="15"/>
        </w:numPr>
        <w:jc w:val="both"/>
      </w:pPr>
      <w:r w:rsidRPr="003E4BA6">
        <w:t xml:space="preserve">      </w:t>
      </w:r>
      <w:r w:rsidR="000F23B8" w:rsidRPr="003E4BA6">
        <w:t>Taken together, Tables 4 and 5 also highlight a pronounced asymmetry in the commodity structure of India–BENIN merchandise trade. India’s exports to BENIN are overwhelmingly concentrated in rice, particularly Rice (Other than Basmoti), whereas India’s imports from BENIN are primarily composed of agricultural and resource-based products such as oil seeds, vegetable oils, plywood, oil meals, wood products and cashew. Thus, the two-way trade relationship exhibits a complementary commodity structure, with India supplying a major food staple and a range of manufactured and processed products to BENIN, while importing agricultural and resource-based commodities from BENIN.</w:t>
      </w:r>
    </w:p>
    <w:p w:rsidR="000F23B8" w:rsidRPr="003E4BA6" w:rsidRDefault="00FE1B6E" w:rsidP="00F57DFB">
      <w:pPr>
        <w:pStyle w:val="NormalWeb"/>
        <w:numPr>
          <w:ilvl w:val="0"/>
          <w:numId w:val="15"/>
        </w:numPr>
        <w:jc w:val="both"/>
      </w:pPr>
      <w:r w:rsidRPr="003E4BA6">
        <w:t xml:space="preserve">      </w:t>
      </w:r>
      <w:r w:rsidR="000F23B8" w:rsidRPr="003E4BA6">
        <w:t>The comparison further indicates considerable scope for diversification on both sides. For India, the relatively small shares of pharmaceuticals, engineering goods, vehicles, electrical machinery, processed products and other manufactured items suggest potential for expanding non-rice exports to BENIN. Similarly, the presence of oilseeds, vegetable oils, oil meals, wood products, aluminium products and other commodities in India’s imports demonstrates the possibility of broadening and strengthening sourcing from BENIN. Therefore, while the existing commodity structure reflects established areas of bilateral trade, the data in Tables 4 and 5 also indicate opportunities for a broader and more balanced merchandise trade relationship between India and BENIN.</w:t>
      </w:r>
    </w:p>
    <w:p w:rsidR="009E4AB8" w:rsidRPr="00990936" w:rsidRDefault="009E4AB8" w:rsidP="004B2416">
      <w:pPr>
        <w:tabs>
          <w:tab w:val="left" w:pos="567"/>
          <w:tab w:val="left" w:pos="7088"/>
        </w:tabs>
        <w:jc w:val="both"/>
        <w:rPr>
          <w:rFonts w:ascii="Times New Roman" w:eastAsia="Times New Roman" w:hAnsi="Times New Roman" w:cs="Times New Roman"/>
          <w:b/>
          <w:bCs/>
          <w:sz w:val="24"/>
          <w:szCs w:val="24"/>
          <w:lang w:eastAsia="en-IN"/>
        </w:rPr>
      </w:pPr>
    </w:p>
    <w:p w:rsidR="009E4AB8" w:rsidRDefault="009E4AB8" w:rsidP="009E4AB8">
      <w:pPr>
        <w:pStyle w:val="BodyText"/>
        <w:ind w:left="142"/>
        <w:rPr>
          <w:b/>
          <w:szCs w:val="24"/>
        </w:rPr>
      </w:pPr>
    </w:p>
    <w:p w:rsidR="001B074C" w:rsidRDefault="001B074C" w:rsidP="004E3328">
      <w:pPr>
        <w:pStyle w:val="BodyText"/>
        <w:rPr>
          <w:b/>
          <w:szCs w:val="24"/>
        </w:rPr>
      </w:pPr>
    </w:p>
    <w:p w:rsidR="00C87688" w:rsidRDefault="00C87688" w:rsidP="004E3328">
      <w:pPr>
        <w:pStyle w:val="BodyText"/>
        <w:rPr>
          <w:b/>
          <w:szCs w:val="24"/>
        </w:rPr>
      </w:pPr>
    </w:p>
    <w:p w:rsidR="00DE4175" w:rsidRDefault="00DE4175" w:rsidP="004E3328">
      <w:pPr>
        <w:pStyle w:val="BodyText"/>
        <w:rPr>
          <w:b/>
          <w:szCs w:val="24"/>
        </w:rPr>
      </w:pPr>
    </w:p>
    <w:tbl>
      <w:tblPr>
        <w:tblW w:w="11624" w:type="dxa"/>
        <w:tblInd w:w="-176" w:type="dxa"/>
        <w:tblLook w:val="04A0"/>
      </w:tblPr>
      <w:tblGrid>
        <w:gridCol w:w="645"/>
        <w:gridCol w:w="3041"/>
        <w:gridCol w:w="851"/>
        <w:gridCol w:w="850"/>
        <w:gridCol w:w="851"/>
        <w:gridCol w:w="850"/>
        <w:gridCol w:w="851"/>
        <w:gridCol w:w="992"/>
        <w:gridCol w:w="851"/>
        <w:gridCol w:w="784"/>
        <w:gridCol w:w="66"/>
        <w:gridCol w:w="579"/>
        <w:gridCol w:w="413"/>
      </w:tblGrid>
      <w:tr w:rsidR="00684FFE" w:rsidRPr="00F65983" w:rsidTr="00D960F0">
        <w:trPr>
          <w:gridAfter w:val="1"/>
          <w:wAfter w:w="413" w:type="dxa"/>
          <w:trHeight w:val="315"/>
        </w:trPr>
        <w:tc>
          <w:tcPr>
            <w:tcW w:w="11211" w:type="dxa"/>
            <w:gridSpan w:val="12"/>
            <w:tcBorders>
              <w:top w:val="nil"/>
              <w:left w:val="nil"/>
              <w:bottom w:val="nil"/>
            </w:tcBorders>
            <w:shd w:val="clear" w:color="auto" w:fill="auto"/>
            <w:noWrap/>
            <w:vAlign w:val="bottom"/>
            <w:hideMark/>
          </w:tcPr>
          <w:p w:rsidR="00684FFE" w:rsidRPr="00F65983" w:rsidRDefault="00684FFE" w:rsidP="00F65983">
            <w:pPr>
              <w:spacing w:after="0" w:line="240" w:lineRule="auto"/>
              <w:rPr>
                <w:rFonts w:ascii="Times New Roman" w:eastAsia="Times New Roman" w:hAnsi="Times New Roman" w:cs="Times New Roman"/>
                <w:sz w:val="24"/>
                <w:szCs w:val="24"/>
                <w:lang w:eastAsia="en-IN" w:bidi="bn-IN"/>
              </w:rPr>
            </w:pPr>
            <w:r>
              <w:rPr>
                <w:rFonts w:ascii="Times New Roman" w:eastAsia="Times New Roman" w:hAnsi="Times New Roman" w:cs="Times New Roman"/>
                <w:b/>
                <w:bCs/>
                <w:sz w:val="24"/>
                <w:szCs w:val="24"/>
                <w:lang w:eastAsia="en-IN" w:bidi="bn-IN"/>
              </w:rPr>
              <w:lastRenderedPageBreak/>
              <w:t xml:space="preserve">                                                                                </w:t>
            </w:r>
            <w:r w:rsidR="007479D1">
              <w:rPr>
                <w:rFonts w:ascii="Times New Roman" w:eastAsia="Times New Roman" w:hAnsi="Times New Roman" w:cs="Times New Roman"/>
                <w:b/>
                <w:bCs/>
                <w:sz w:val="24"/>
                <w:szCs w:val="24"/>
                <w:lang w:eastAsia="en-IN" w:bidi="bn-IN"/>
              </w:rPr>
              <w:t xml:space="preserve">     </w:t>
            </w:r>
            <w:r w:rsidRPr="003167BB">
              <w:rPr>
                <w:rFonts w:ascii="Times New Roman" w:eastAsia="Times New Roman" w:hAnsi="Times New Roman" w:cs="Times New Roman"/>
                <w:b/>
                <w:bCs/>
                <w:color w:val="365F91" w:themeColor="accent1" w:themeShade="BF"/>
                <w:sz w:val="24"/>
                <w:szCs w:val="24"/>
                <w:lang w:eastAsia="en-IN" w:bidi="bn-IN"/>
              </w:rPr>
              <w:t>TABLE -4</w:t>
            </w:r>
          </w:p>
        </w:tc>
      </w:tr>
      <w:tr w:rsidR="001340D1" w:rsidRPr="001340D1" w:rsidTr="00D960F0">
        <w:trPr>
          <w:gridAfter w:val="3"/>
          <w:wAfter w:w="1058" w:type="dxa"/>
          <w:trHeight w:val="80"/>
        </w:trPr>
        <w:tc>
          <w:tcPr>
            <w:tcW w:w="10566" w:type="dxa"/>
            <w:gridSpan w:val="10"/>
            <w:tcBorders>
              <w:top w:val="nil"/>
              <w:left w:val="nil"/>
              <w:bottom w:val="nil"/>
              <w:right w:val="nil"/>
            </w:tcBorders>
            <w:shd w:val="clear" w:color="auto" w:fill="auto"/>
            <w:noWrap/>
            <w:vAlign w:val="bottom"/>
            <w:hideMark/>
          </w:tcPr>
          <w:p w:rsidR="001340D1" w:rsidRPr="001340D1" w:rsidRDefault="001340D1" w:rsidP="001340D1">
            <w:pPr>
              <w:spacing w:after="0" w:line="240" w:lineRule="auto"/>
              <w:jc w:val="center"/>
              <w:rPr>
                <w:rFonts w:ascii="Times New Roman" w:eastAsia="Times New Roman" w:hAnsi="Times New Roman" w:cs="Times New Roman"/>
                <w:b/>
                <w:bCs/>
                <w:sz w:val="24"/>
                <w:szCs w:val="24"/>
                <w:lang w:eastAsia="en-IN" w:bidi="bn-IN"/>
              </w:rPr>
            </w:pPr>
            <w:r>
              <w:rPr>
                <w:rFonts w:ascii="Times New Roman" w:eastAsia="Times New Roman" w:hAnsi="Times New Roman" w:cs="Times New Roman"/>
                <w:b/>
                <w:bCs/>
                <w:sz w:val="24"/>
                <w:szCs w:val="24"/>
                <w:lang w:eastAsia="en-IN" w:bidi="bn-IN"/>
              </w:rPr>
              <w:t xml:space="preserve">    </w:t>
            </w:r>
            <w:r w:rsidR="007479D1">
              <w:rPr>
                <w:rFonts w:ascii="Times New Roman" w:eastAsia="Times New Roman" w:hAnsi="Times New Roman" w:cs="Times New Roman"/>
                <w:b/>
                <w:bCs/>
                <w:sz w:val="24"/>
                <w:szCs w:val="24"/>
                <w:lang w:eastAsia="en-IN" w:bidi="bn-IN"/>
              </w:rPr>
              <w:t xml:space="preserve">               </w:t>
            </w:r>
            <w:r w:rsidRPr="001340D1">
              <w:rPr>
                <w:rFonts w:ascii="Times New Roman" w:eastAsia="Times New Roman" w:hAnsi="Times New Roman" w:cs="Times New Roman"/>
                <w:b/>
                <w:bCs/>
                <w:sz w:val="24"/>
                <w:szCs w:val="24"/>
                <w:lang w:eastAsia="en-IN" w:bidi="bn-IN"/>
              </w:rPr>
              <w:t xml:space="preserve">INDIA'S MAJOR ITEMS OF MERCHANDISE EXPORTS TO </w:t>
            </w:r>
            <w:r w:rsidR="00A44803">
              <w:rPr>
                <w:rFonts w:ascii="Times New Roman" w:eastAsia="Times New Roman" w:hAnsi="Times New Roman" w:cs="Times New Roman"/>
                <w:b/>
                <w:bCs/>
                <w:sz w:val="24"/>
                <w:szCs w:val="24"/>
                <w:lang w:eastAsia="en-IN" w:bidi="bn-IN"/>
              </w:rPr>
              <w:t>BENIN</w:t>
            </w:r>
          </w:p>
        </w:tc>
      </w:tr>
      <w:tr w:rsidR="001340D1" w:rsidRPr="001340D1" w:rsidTr="00D960F0">
        <w:trPr>
          <w:gridAfter w:val="3"/>
          <w:wAfter w:w="1058" w:type="dxa"/>
          <w:trHeight w:val="80"/>
        </w:trPr>
        <w:tc>
          <w:tcPr>
            <w:tcW w:w="10566" w:type="dxa"/>
            <w:gridSpan w:val="10"/>
            <w:tcBorders>
              <w:top w:val="nil"/>
              <w:left w:val="nil"/>
              <w:bottom w:val="nil"/>
              <w:right w:val="nil"/>
            </w:tcBorders>
            <w:shd w:val="clear" w:color="auto" w:fill="auto"/>
            <w:noWrap/>
            <w:vAlign w:val="bottom"/>
            <w:hideMark/>
          </w:tcPr>
          <w:p w:rsidR="001340D1" w:rsidRPr="001340D1" w:rsidRDefault="001340D1" w:rsidP="001340D1">
            <w:pPr>
              <w:spacing w:after="0" w:line="240" w:lineRule="auto"/>
              <w:jc w:val="center"/>
              <w:rPr>
                <w:rFonts w:ascii="Times New Roman" w:eastAsia="Times New Roman" w:hAnsi="Times New Roman" w:cs="Times New Roman"/>
                <w:b/>
                <w:bCs/>
                <w:sz w:val="24"/>
                <w:szCs w:val="24"/>
                <w:lang w:eastAsia="en-IN" w:bidi="bn-IN"/>
              </w:rPr>
            </w:pPr>
            <w:r>
              <w:rPr>
                <w:rFonts w:ascii="Times New Roman" w:eastAsia="Times New Roman" w:hAnsi="Times New Roman" w:cs="Times New Roman"/>
                <w:b/>
                <w:bCs/>
                <w:sz w:val="24"/>
                <w:szCs w:val="24"/>
                <w:lang w:eastAsia="en-IN" w:bidi="bn-IN"/>
              </w:rPr>
              <w:t xml:space="preserve">   </w:t>
            </w:r>
            <w:r w:rsidR="00684FFE">
              <w:rPr>
                <w:rFonts w:ascii="Times New Roman" w:eastAsia="Times New Roman" w:hAnsi="Times New Roman" w:cs="Times New Roman"/>
                <w:b/>
                <w:bCs/>
                <w:sz w:val="24"/>
                <w:szCs w:val="24"/>
                <w:lang w:eastAsia="en-IN" w:bidi="bn-IN"/>
              </w:rPr>
              <w:t xml:space="preserve">         </w:t>
            </w:r>
            <w:r w:rsidR="007479D1">
              <w:rPr>
                <w:rFonts w:ascii="Times New Roman" w:eastAsia="Times New Roman" w:hAnsi="Times New Roman" w:cs="Times New Roman"/>
                <w:b/>
                <w:bCs/>
                <w:sz w:val="24"/>
                <w:szCs w:val="24"/>
                <w:lang w:eastAsia="en-IN" w:bidi="bn-IN"/>
              </w:rPr>
              <w:t xml:space="preserve">        </w:t>
            </w:r>
            <w:r w:rsidRPr="001340D1">
              <w:rPr>
                <w:rFonts w:ascii="Times New Roman" w:eastAsia="Times New Roman" w:hAnsi="Times New Roman" w:cs="Times New Roman"/>
                <w:b/>
                <w:bCs/>
                <w:sz w:val="24"/>
                <w:szCs w:val="24"/>
                <w:lang w:eastAsia="en-IN" w:bidi="bn-IN"/>
              </w:rPr>
              <w:t>2020-2021 TO 2024-2025 AND THEIR GROWTH RATES</w:t>
            </w:r>
          </w:p>
        </w:tc>
      </w:tr>
      <w:tr w:rsidR="00C23F71" w:rsidRPr="00C23F71" w:rsidTr="00D960F0">
        <w:trPr>
          <w:trHeight w:val="80"/>
        </w:trPr>
        <w:tc>
          <w:tcPr>
            <w:tcW w:w="11624" w:type="dxa"/>
            <w:gridSpan w:val="13"/>
            <w:tcBorders>
              <w:top w:val="nil"/>
              <w:left w:val="nil"/>
              <w:bottom w:val="single" w:sz="4" w:space="0" w:color="auto"/>
              <w:right w:val="nil"/>
            </w:tcBorders>
            <w:shd w:val="clear" w:color="auto" w:fill="auto"/>
            <w:noWrap/>
            <w:vAlign w:val="bottom"/>
            <w:hideMark/>
          </w:tcPr>
          <w:p w:rsidR="00C23F71" w:rsidRPr="00C23F71" w:rsidRDefault="00C23F71" w:rsidP="00C23F71">
            <w:pPr>
              <w:spacing w:after="0" w:line="240" w:lineRule="auto"/>
              <w:jc w:val="right"/>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(Value in USD Million)</w:t>
            </w:r>
          </w:p>
        </w:tc>
      </w:tr>
      <w:tr w:rsidR="00D960F0" w:rsidRPr="00C23F71" w:rsidTr="00D960F0">
        <w:trPr>
          <w:trHeight w:val="653"/>
        </w:trPr>
        <w:tc>
          <w:tcPr>
            <w:tcW w:w="645" w:type="dxa"/>
            <w:tcBorders>
              <w:top w:val="nil"/>
              <w:left w:val="single" w:sz="4" w:space="0" w:color="auto"/>
              <w:bottom w:val="nil"/>
              <w:right w:val="nil"/>
            </w:tcBorders>
            <w:shd w:val="clear" w:color="auto" w:fill="auto"/>
            <w:noWrap/>
            <w:vAlign w:val="bottom"/>
            <w:hideMark/>
          </w:tcPr>
          <w:p w:rsidR="00D960F0" w:rsidRPr="00C23F71" w:rsidRDefault="00D960F0"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Sl. No.</w:t>
            </w:r>
          </w:p>
        </w:tc>
        <w:tc>
          <w:tcPr>
            <w:tcW w:w="3041" w:type="dxa"/>
            <w:tcBorders>
              <w:top w:val="nil"/>
              <w:left w:val="single" w:sz="4" w:space="0" w:color="auto"/>
              <w:bottom w:val="single" w:sz="4" w:space="0" w:color="auto"/>
              <w:right w:val="single" w:sz="4" w:space="0" w:color="auto"/>
            </w:tcBorders>
            <w:shd w:val="clear" w:color="auto" w:fill="auto"/>
            <w:noWrap/>
            <w:vAlign w:val="center"/>
            <w:hideMark/>
          </w:tcPr>
          <w:p w:rsidR="00D960F0" w:rsidRPr="00C23F71" w:rsidRDefault="00D960F0"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Name of the Merchandise Commodities</w:t>
            </w:r>
          </w:p>
        </w:tc>
        <w:tc>
          <w:tcPr>
            <w:tcW w:w="4253" w:type="dxa"/>
            <w:gridSpan w:val="5"/>
            <w:tcBorders>
              <w:top w:val="single" w:sz="4" w:space="0" w:color="auto"/>
              <w:left w:val="nil"/>
              <w:bottom w:val="single" w:sz="4" w:space="0" w:color="auto"/>
              <w:right w:val="single" w:sz="4" w:space="0" w:color="000000"/>
            </w:tcBorders>
            <w:shd w:val="clear" w:color="auto" w:fill="auto"/>
            <w:noWrap/>
            <w:vAlign w:val="center"/>
            <w:hideMark/>
          </w:tcPr>
          <w:p w:rsidR="00D960F0" w:rsidRPr="00C23F71" w:rsidRDefault="00D960F0"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Value of Exports</w:t>
            </w:r>
          </w:p>
        </w:tc>
        <w:tc>
          <w:tcPr>
            <w:tcW w:w="3685" w:type="dxa"/>
            <w:gridSpan w:val="6"/>
            <w:tcBorders>
              <w:top w:val="nil"/>
              <w:left w:val="nil"/>
              <w:bottom w:val="nil"/>
              <w:right w:val="single" w:sz="4" w:space="0" w:color="auto"/>
            </w:tcBorders>
            <w:shd w:val="clear" w:color="auto" w:fill="auto"/>
            <w:noWrap/>
            <w:vAlign w:val="bottom"/>
            <w:hideMark/>
          </w:tcPr>
          <w:p w:rsidR="00D960F0" w:rsidRPr="00C23F71" w:rsidRDefault="00D960F0" w:rsidP="00D960F0">
            <w:pPr>
              <w:spacing w:after="0" w:line="240" w:lineRule="auto"/>
              <w:jc w:val="center"/>
              <w:rPr>
                <w:rFonts w:ascii="Times New Roman" w:eastAsia="Times New Roman" w:hAnsi="Times New Roman" w:cs="Times New Roman"/>
                <w:b/>
                <w:bCs/>
                <w:sz w:val="18"/>
                <w:szCs w:val="18"/>
                <w:lang w:eastAsia="en-IN" w:bidi="bn-IN"/>
              </w:rPr>
            </w:pPr>
          </w:p>
          <w:p w:rsidR="00D960F0" w:rsidRPr="00C23F71" w:rsidRDefault="00D960F0"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Annual Growth Rates</w:t>
            </w:r>
          </w:p>
          <w:p w:rsidR="00D960F0" w:rsidRPr="00C23F71" w:rsidRDefault="00D960F0" w:rsidP="00D960F0">
            <w:pPr>
              <w:spacing w:after="0" w:line="240" w:lineRule="auto"/>
              <w:jc w:val="center"/>
              <w:rPr>
                <w:rFonts w:ascii="Times New Roman" w:eastAsia="Times New Roman" w:hAnsi="Times New Roman" w:cs="Times New Roman"/>
                <w:b/>
                <w:bCs/>
                <w:sz w:val="18"/>
                <w:szCs w:val="18"/>
                <w:lang w:eastAsia="en-IN" w:bidi="bn-IN"/>
              </w:rPr>
            </w:pPr>
          </w:p>
          <w:p w:rsidR="00D960F0" w:rsidRPr="00C23F71" w:rsidRDefault="00D960F0" w:rsidP="00D960F0">
            <w:pPr>
              <w:spacing w:after="0" w:line="240" w:lineRule="auto"/>
              <w:jc w:val="center"/>
              <w:rPr>
                <w:rFonts w:ascii="Times New Roman" w:eastAsia="Times New Roman" w:hAnsi="Times New Roman" w:cs="Times New Roman"/>
                <w:b/>
                <w:bCs/>
                <w:sz w:val="18"/>
                <w:szCs w:val="18"/>
                <w:lang w:eastAsia="en-IN" w:bidi="bn-IN"/>
              </w:rPr>
            </w:pPr>
          </w:p>
        </w:tc>
      </w:tr>
      <w:tr w:rsidR="00C23F71" w:rsidRPr="00C23F71" w:rsidTr="00D960F0">
        <w:trPr>
          <w:trHeight w:val="255"/>
        </w:trPr>
        <w:tc>
          <w:tcPr>
            <w:tcW w:w="645" w:type="dxa"/>
            <w:tcBorders>
              <w:top w:val="nil"/>
              <w:left w:val="single" w:sz="4" w:space="0" w:color="auto"/>
              <w:bottom w:val="nil"/>
              <w:right w:val="nil"/>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3041" w:type="dxa"/>
            <w:tcBorders>
              <w:top w:val="nil"/>
              <w:left w:val="single" w:sz="4" w:space="0" w:color="auto"/>
              <w:bottom w:val="nil"/>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851" w:type="dxa"/>
            <w:tcBorders>
              <w:top w:val="nil"/>
              <w:left w:val="nil"/>
              <w:bottom w:val="nil"/>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2020-21</w:t>
            </w:r>
          </w:p>
        </w:tc>
        <w:tc>
          <w:tcPr>
            <w:tcW w:w="850" w:type="dxa"/>
            <w:tcBorders>
              <w:top w:val="nil"/>
              <w:left w:val="nil"/>
              <w:bottom w:val="nil"/>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2021-22</w:t>
            </w:r>
          </w:p>
        </w:tc>
        <w:tc>
          <w:tcPr>
            <w:tcW w:w="851" w:type="dxa"/>
            <w:tcBorders>
              <w:top w:val="nil"/>
              <w:left w:val="nil"/>
              <w:bottom w:val="nil"/>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2022-23</w:t>
            </w:r>
          </w:p>
        </w:tc>
        <w:tc>
          <w:tcPr>
            <w:tcW w:w="850" w:type="dxa"/>
            <w:tcBorders>
              <w:top w:val="nil"/>
              <w:left w:val="nil"/>
              <w:bottom w:val="nil"/>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2023-24</w:t>
            </w:r>
          </w:p>
        </w:tc>
        <w:tc>
          <w:tcPr>
            <w:tcW w:w="851" w:type="dxa"/>
            <w:tcBorders>
              <w:top w:val="nil"/>
              <w:left w:val="nil"/>
              <w:bottom w:val="nil"/>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2024-25</w:t>
            </w:r>
          </w:p>
        </w:tc>
        <w:tc>
          <w:tcPr>
            <w:tcW w:w="992" w:type="dxa"/>
            <w:tcBorders>
              <w:top w:val="single" w:sz="4" w:space="0" w:color="auto"/>
              <w:left w:val="nil"/>
              <w:bottom w:val="nil"/>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21-22 over</w:t>
            </w:r>
          </w:p>
        </w:tc>
        <w:tc>
          <w:tcPr>
            <w:tcW w:w="851" w:type="dxa"/>
            <w:tcBorders>
              <w:top w:val="single" w:sz="4" w:space="0" w:color="auto"/>
              <w:left w:val="nil"/>
              <w:bottom w:val="nil"/>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22-23 over</w:t>
            </w:r>
          </w:p>
        </w:tc>
        <w:tc>
          <w:tcPr>
            <w:tcW w:w="850" w:type="dxa"/>
            <w:gridSpan w:val="2"/>
            <w:tcBorders>
              <w:top w:val="single" w:sz="4" w:space="0" w:color="auto"/>
              <w:left w:val="nil"/>
              <w:bottom w:val="nil"/>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23-24 over</w:t>
            </w:r>
          </w:p>
        </w:tc>
        <w:tc>
          <w:tcPr>
            <w:tcW w:w="992" w:type="dxa"/>
            <w:gridSpan w:val="2"/>
            <w:tcBorders>
              <w:top w:val="single" w:sz="4" w:space="0" w:color="auto"/>
              <w:left w:val="nil"/>
              <w:bottom w:val="nil"/>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24-25 over</w:t>
            </w:r>
          </w:p>
        </w:tc>
      </w:tr>
      <w:tr w:rsidR="00C23F71" w:rsidRPr="00C23F71" w:rsidTr="00D960F0">
        <w:trPr>
          <w:trHeight w:val="255"/>
        </w:trPr>
        <w:tc>
          <w:tcPr>
            <w:tcW w:w="645" w:type="dxa"/>
            <w:tcBorders>
              <w:top w:val="nil"/>
              <w:left w:val="single" w:sz="4" w:space="0" w:color="auto"/>
              <w:bottom w:val="single" w:sz="4" w:space="0" w:color="auto"/>
              <w:right w:val="nil"/>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3041"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2020-21</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2021-22</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2022-23</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2023-24</w:t>
            </w: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RICE(OTHER THAN BASMOTI)</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442.97</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531.39</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529.21</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512.84</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1025.38</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19.96</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-0.41</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-3.09</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99.94</w:t>
            </w: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Share in total export</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79.79</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74.17</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59.27</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68.15</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85.81</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DRUG FORMULATIONS, BIOLOGICALS</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23.32</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22.74</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29.83</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20.87</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25.30</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-2.49</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31.18</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-30.04</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21.23</w:t>
            </w: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Share in total export</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4.20</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3.17</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3.34</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2.77</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2.12</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3</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INDL. MACHNRY FOR DAIRY ETC</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20.13</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21.47</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43.24</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42.74</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22.11</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6.66</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101.40</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-1.16</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-48.27</w:t>
            </w: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Share in total export</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3.63</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3.00</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4.84</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5.68</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1.85</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4</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TWO AND THREE WHEELERS</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13.16</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16.70</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9.64</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8.30</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13.99</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26.90</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-42.28</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-13.90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68.59</w:t>
            </w: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Share in total export</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2.37</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2.33</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1.08</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1.10</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1.17</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5</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MOULDED AND EXTRUDED GOODS</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0.68</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3.48</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12.86</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8.53</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9.08</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411.76</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269.54</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-33.67</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6.47</w:t>
            </w: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Share in total export</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0.12</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0.49</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1.44</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1.13</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0.76</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6</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ELECTRIC MACHINERY AND EQUIPME</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3.6</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1.67</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5.69</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9.04</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8.55</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-53.61</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240.72</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58.88</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-5.42</w:t>
            </w: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Share in total export</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0.65</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0.23</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0.64</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1.20</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0.72</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7</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COTTON FABRICS, MADEUPS ETC.</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12.45</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33.84</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69.74</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42.23</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7.40</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171.81</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106.09</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-39.45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-82.47</w:t>
            </w: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Share in total export</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2.24</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4.72</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7.81</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5.61</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0.62</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8</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MISC PROCESSED ITEMS</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3.92</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8.48</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14.48</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7.54</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7.36</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116.33</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70.75</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-47.93</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-2.42</w:t>
            </w: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Share in total export</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0.71</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1.18</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1.62</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1.00</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0.62</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9</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PRODUCTS OF IRON AND STEEL</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0.62</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2.62</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29.50</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12.37</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6.91</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322.58</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1025.95</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-58.07</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-44.14</w:t>
            </w: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Share in total export</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0.11</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0.37</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3.30</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1.64</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0.58</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10</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CEREAL PREPARATIONS</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2.39</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4.50</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9.99</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6.37</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5.34</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88.28</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122.00</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-36.24</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-16.19</w:t>
            </w: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Share in total export</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0.43</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0.63</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1.12</w:t>
            </w:r>
          </w:p>
        </w:tc>
        <w:tc>
          <w:tcPr>
            <w:tcW w:w="850"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0.85</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sz w:val="18"/>
                <w:szCs w:val="18"/>
                <w:lang w:eastAsia="en-IN" w:bidi="bn-IN"/>
              </w:rPr>
            </w:pPr>
            <w:r w:rsidRPr="00C23F71">
              <w:rPr>
                <w:rFonts w:ascii="Times New Roman" w:eastAsia="Times New Roman" w:hAnsi="Times New Roman" w:cs="Times New Roman"/>
                <w:sz w:val="18"/>
                <w:szCs w:val="18"/>
                <w:lang w:eastAsia="en-IN" w:bidi="bn-IN"/>
              </w:rPr>
              <w:t>0.45</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p>
        </w:tc>
      </w:tr>
      <w:tr w:rsidR="00C23F71" w:rsidRPr="00C23F71" w:rsidTr="00D960F0">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 </w:t>
            </w:r>
          </w:p>
        </w:tc>
        <w:tc>
          <w:tcPr>
            <w:tcW w:w="3041" w:type="dxa"/>
            <w:tcBorders>
              <w:top w:val="nil"/>
              <w:left w:val="nil"/>
              <w:bottom w:val="single" w:sz="4" w:space="0" w:color="auto"/>
              <w:right w:val="single" w:sz="4" w:space="0" w:color="auto"/>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Total exports to BENIN</w:t>
            </w:r>
          </w:p>
        </w:tc>
        <w:tc>
          <w:tcPr>
            <w:tcW w:w="851" w:type="dxa"/>
            <w:tcBorders>
              <w:top w:val="nil"/>
              <w:left w:val="nil"/>
              <w:bottom w:val="single" w:sz="4" w:space="0" w:color="auto"/>
              <w:right w:val="single" w:sz="4" w:space="0" w:color="auto"/>
            </w:tcBorders>
            <w:shd w:val="clear" w:color="000000" w:fill="FFFFFF"/>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555.20</w:t>
            </w:r>
          </w:p>
        </w:tc>
        <w:tc>
          <w:tcPr>
            <w:tcW w:w="850" w:type="dxa"/>
            <w:tcBorders>
              <w:top w:val="nil"/>
              <w:left w:val="nil"/>
              <w:bottom w:val="single" w:sz="4" w:space="0" w:color="auto"/>
              <w:right w:val="single" w:sz="4" w:space="0" w:color="auto"/>
            </w:tcBorders>
            <w:shd w:val="clear" w:color="000000" w:fill="FFFFFF"/>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716.41</w:t>
            </w:r>
          </w:p>
        </w:tc>
        <w:tc>
          <w:tcPr>
            <w:tcW w:w="851" w:type="dxa"/>
            <w:tcBorders>
              <w:top w:val="nil"/>
              <w:left w:val="nil"/>
              <w:bottom w:val="single" w:sz="4" w:space="0" w:color="auto"/>
              <w:right w:val="single" w:sz="4" w:space="0" w:color="auto"/>
            </w:tcBorders>
            <w:shd w:val="clear" w:color="000000" w:fill="FFFFFF"/>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892.81</w:t>
            </w:r>
          </w:p>
        </w:tc>
        <w:tc>
          <w:tcPr>
            <w:tcW w:w="850" w:type="dxa"/>
            <w:tcBorders>
              <w:top w:val="nil"/>
              <w:left w:val="nil"/>
              <w:bottom w:val="single" w:sz="4" w:space="0" w:color="auto"/>
              <w:right w:val="single" w:sz="4" w:space="0" w:color="auto"/>
            </w:tcBorders>
            <w:shd w:val="clear" w:color="000000" w:fill="FFFFFF"/>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752.55</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1194.98</w:t>
            </w:r>
          </w:p>
        </w:tc>
        <w:tc>
          <w:tcPr>
            <w:tcW w:w="992"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29.04</w:t>
            </w:r>
          </w:p>
        </w:tc>
        <w:tc>
          <w:tcPr>
            <w:tcW w:w="851" w:type="dxa"/>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24.62</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-15.71</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23F71" w:rsidRPr="00C23F71" w:rsidRDefault="00C23F71" w:rsidP="00D960F0">
            <w:pPr>
              <w:spacing w:after="0" w:line="240" w:lineRule="auto"/>
              <w:jc w:val="center"/>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58.79</w:t>
            </w:r>
          </w:p>
        </w:tc>
      </w:tr>
      <w:tr w:rsidR="00C23F71" w:rsidRPr="00C23F71" w:rsidTr="00B67A08">
        <w:trPr>
          <w:trHeight w:val="70"/>
        </w:trPr>
        <w:tc>
          <w:tcPr>
            <w:tcW w:w="11624" w:type="dxa"/>
            <w:gridSpan w:val="13"/>
            <w:tcBorders>
              <w:top w:val="single" w:sz="4" w:space="0" w:color="auto"/>
              <w:left w:val="nil"/>
              <w:bottom w:val="nil"/>
              <w:right w:val="nil"/>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NOTE   :  Figures relate to each Financial Year (April to March)</w:t>
            </w:r>
          </w:p>
        </w:tc>
      </w:tr>
      <w:tr w:rsidR="00C23F71" w:rsidRPr="00C23F71" w:rsidTr="00B67A08">
        <w:trPr>
          <w:trHeight w:val="80"/>
        </w:trPr>
        <w:tc>
          <w:tcPr>
            <w:tcW w:w="11624" w:type="dxa"/>
            <w:gridSpan w:val="13"/>
            <w:tcBorders>
              <w:top w:val="nil"/>
              <w:left w:val="nil"/>
              <w:bottom w:val="nil"/>
              <w:right w:val="nil"/>
            </w:tcBorders>
            <w:shd w:val="clear" w:color="auto" w:fill="auto"/>
            <w:noWrap/>
            <w:vAlign w:val="bottom"/>
            <w:hideMark/>
          </w:tcPr>
          <w:p w:rsidR="00C23F71" w:rsidRPr="00C23F71" w:rsidRDefault="00C23F71" w:rsidP="00C23F71">
            <w:pPr>
              <w:spacing w:after="0" w:line="240" w:lineRule="auto"/>
              <w:rPr>
                <w:rFonts w:ascii="Times New Roman" w:eastAsia="Times New Roman" w:hAnsi="Times New Roman" w:cs="Times New Roman"/>
                <w:b/>
                <w:bCs/>
                <w:sz w:val="18"/>
                <w:szCs w:val="18"/>
                <w:lang w:eastAsia="en-IN" w:bidi="bn-IN"/>
              </w:rPr>
            </w:pPr>
            <w:r w:rsidRPr="00C23F71">
              <w:rPr>
                <w:rFonts w:ascii="Times New Roman" w:eastAsia="Times New Roman" w:hAnsi="Times New Roman" w:cs="Times New Roman"/>
                <w:b/>
                <w:bCs/>
                <w:sz w:val="18"/>
                <w:szCs w:val="18"/>
                <w:lang w:eastAsia="en-IN" w:bidi="bn-IN"/>
              </w:rPr>
              <w:t>SOURCE :  DGCI&amp;S, M/o C&amp;I</w:t>
            </w:r>
          </w:p>
        </w:tc>
      </w:tr>
    </w:tbl>
    <w:p w:rsidR="00B077CE" w:rsidRDefault="00B077CE" w:rsidP="009E4AB8">
      <w:pPr>
        <w:pStyle w:val="BodyText"/>
        <w:ind w:left="142"/>
        <w:rPr>
          <w:b/>
          <w:szCs w:val="24"/>
        </w:rPr>
      </w:pPr>
    </w:p>
    <w:p w:rsidR="00C17754" w:rsidRDefault="00C17754" w:rsidP="009E4AB8">
      <w:pPr>
        <w:pStyle w:val="BodyText"/>
        <w:ind w:left="142"/>
        <w:rPr>
          <w:b/>
          <w:szCs w:val="24"/>
        </w:rPr>
      </w:pPr>
    </w:p>
    <w:p w:rsidR="00C87688" w:rsidRDefault="00C87688" w:rsidP="009E4AB8">
      <w:pPr>
        <w:pStyle w:val="BodyText"/>
        <w:ind w:left="142"/>
        <w:rPr>
          <w:b/>
          <w:szCs w:val="24"/>
        </w:rPr>
      </w:pPr>
    </w:p>
    <w:p w:rsidR="00C87688" w:rsidRDefault="00C87688" w:rsidP="009E4AB8">
      <w:pPr>
        <w:pStyle w:val="BodyText"/>
        <w:ind w:left="142"/>
        <w:rPr>
          <w:b/>
          <w:szCs w:val="24"/>
        </w:rPr>
      </w:pPr>
    </w:p>
    <w:p w:rsidR="00C87688" w:rsidRDefault="00C87688" w:rsidP="009E4AB8">
      <w:pPr>
        <w:pStyle w:val="BodyText"/>
        <w:ind w:left="142"/>
        <w:rPr>
          <w:b/>
          <w:szCs w:val="24"/>
        </w:rPr>
      </w:pPr>
    </w:p>
    <w:p w:rsidR="00C87688" w:rsidRDefault="00C87688" w:rsidP="009E4AB8">
      <w:pPr>
        <w:pStyle w:val="BodyText"/>
        <w:ind w:left="142"/>
        <w:rPr>
          <w:b/>
          <w:szCs w:val="24"/>
        </w:rPr>
      </w:pPr>
    </w:p>
    <w:p w:rsidR="00C87688" w:rsidRDefault="00C87688" w:rsidP="009E4AB8">
      <w:pPr>
        <w:pStyle w:val="BodyText"/>
        <w:ind w:left="142"/>
        <w:rPr>
          <w:b/>
          <w:szCs w:val="24"/>
        </w:rPr>
      </w:pPr>
    </w:p>
    <w:p w:rsidR="00C87688" w:rsidRDefault="00C87688" w:rsidP="009E4AB8">
      <w:pPr>
        <w:pStyle w:val="BodyText"/>
        <w:ind w:left="142"/>
        <w:rPr>
          <w:b/>
          <w:szCs w:val="24"/>
        </w:rPr>
      </w:pPr>
    </w:p>
    <w:p w:rsidR="00C87688" w:rsidRDefault="00C87688" w:rsidP="009E4AB8">
      <w:pPr>
        <w:pStyle w:val="BodyText"/>
        <w:ind w:left="142"/>
        <w:rPr>
          <w:b/>
          <w:szCs w:val="24"/>
        </w:rPr>
      </w:pPr>
    </w:p>
    <w:p w:rsidR="00C87688" w:rsidRDefault="00C87688" w:rsidP="009E4AB8">
      <w:pPr>
        <w:pStyle w:val="BodyText"/>
        <w:ind w:left="142"/>
        <w:rPr>
          <w:b/>
          <w:szCs w:val="24"/>
        </w:rPr>
      </w:pPr>
    </w:p>
    <w:p w:rsidR="00C87688" w:rsidRDefault="00C87688" w:rsidP="009E4AB8">
      <w:pPr>
        <w:pStyle w:val="BodyText"/>
        <w:ind w:left="142"/>
        <w:rPr>
          <w:b/>
          <w:szCs w:val="24"/>
        </w:rPr>
      </w:pPr>
    </w:p>
    <w:p w:rsidR="00C87688" w:rsidRDefault="00C87688" w:rsidP="009E4AB8">
      <w:pPr>
        <w:pStyle w:val="BodyText"/>
        <w:ind w:left="142"/>
        <w:rPr>
          <w:b/>
          <w:szCs w:val="24"/>
        </w:rPr>
      </w:pPr>
    </w:p>
    <w:p w:rsidR="00C87688" w:rsidRDefault="00C87688" w:rsidP="009E4AB8">
      <w:pPr>
        <w:pStyle w:val="BodyText"/>
        <w:ind w:left="142"/>
        <w:rPr>
          <w:b/>
          <w:szCs w:val="24"/>
        </w:rPr>
      </w:pPr>
    </w:p>
    <w:p w:rsidR="00C87688" w:rsidRDefault="00C87688" w:rsidP="009E4AB8">
      <w:pPr>
        <w:pStyle w:val="BodyText"/>
        <w:ind w:left="142"/>
        <w:rPr>
          <w:b/>
          <w:szCs w:val="24"/>
        </w:rPr>
      </w:pPr>
    </w:p>
    <w:p w:rsidR="00C87688" w:rsidRDefault="00C87688" w:rsidP="009E4AB8">
      <w:pPr>
        <w:pStyle w:val="BodyText"/>
        <w:ind w:left="142"/>
        <w:rPr>
          <w:b/>
          <w:szCs w:val="24"/>
        </w:rPr>
      </w:pPr>
    </w:p>
    <w:p w:rsidR="00C87688" w:rsidRDefault="00C87688" w:rsidP="009E4AB8">
      <w:pPr>
        <w:pStyle w:val="BodyText"/>
        <w:ind w:left="142"/>
        <w:rPr>
          <w:b/>
          <w:szCs w:val="24"/>
        </w:rPr>
      </w:pPr>
    </w:p>
    <w:tbl>
      <w:tblPr>
        <w:tblW w:w="11776" w:type="dxa"/>
        <w:tblInd w:w="-176" w:type="dxa"/>
        <w:tblLook w:val="04A0"/>
      </w:tblPr>
      <w:tblGrid>
        <w:gridCol w:w="534"/>
        <w:gridCol w:w="112"/>
        <w:gridCol w:w="1341"/>
        <w:gridCol w:w="1983"/>
        <w:gridCol w:w="60"/>
        <w:gridCol w:w="790"/>
        <w:gridCol w:w="711"/>
        <w:gridCol w:w="140"/>
        <w:gridCol w:w="510"/>
        <w:gridCol w:w="340"/>
        <w:gridCol w:w="851"/>
        <w:gridCol w:w="646"/>
        <w:gridCol w:w="204"/>
        <w:gridCol w:w="836"/>
        <w:gridCol w:w="187"/>
        <w:gridCol w:w="664"/>
        <w:gridCol w:w="850"/>
        <w:gridCol w:w="331"/>
        <w:gridCol w:w="437"/>
        <w:gridCol w:w="97"/>
        <w:gridCol w:w="152"/>
      </w:tblGrid>
      <w:tr w:rsidR="00F02DC3" w:rsidRPr="00F02DC3" w:rsidTr="00292CA5">
        <w:trPr>
          <w:trHeight w:val="315"/>
        </w:trPr>
        <w:tc>
          <w:tcPr>
            <w:tcW w:w="534" w:type="dxa"/>
            <w:tcBorders>
              <w:top w:val="nil"/>
              <w:left w:val="nil"/>
              <w:bottom w:val="nil"/>
              <w:right w:val="nil"/>
            </w:tcBorders>
            <w:shd w:val="clear" w:color="auto" w:fill="auto"/>
            <w:noWrap/>
            <w:vAlign w:val="bottom"/>
            <w:hideMark/>
          </w:tcPr>
          <w:p w:rsidR="00F02DC3" w:rsidRPr="00F02DC3" w:rsidRDefault="00F02DC3" w:rsidP="00F02DC3">
            <w:pPr>
              <w:spacing w:after="0" w:line="240" w:lineRule="auto"/>
              <w:rPr>
                <w:rFonts w:ascii="Times New Roman" w:eastAsia="Times New Roman" w:hAnsi="Times New Roman" w:cs="Times New Roman"/>
                <w:lang w:eastAsia="en-IN" w:bidi="bn-IN"/>
              </w:rPr>
            </w:pPr>
            <w:bookmarkStart w:id="2" w:name="RANGE!A1:K30"/>
            <w:bookmarkEnd w:id="2"/>
          </w:p>
        </w:tc>
        <w:tc>
          <w:tcPr>
            <w:tcW w:w="1453" w:type="dxa"/>
            <w:gridSpan w:val="2"/>
            <w:tcBorders>
              <w:top w:val="nil"/>
              <w:left w:val="nil"/>
              <w:bottom w:val="nil"/>
              <w:right w:val="nil"/>
            </w:tcBorders>
            <w:shd w:val="clear" w:color="auto" w:fill="auto"/>
            <w:noWrap/>
            <w:vAlign w:val="bottom"/>
            <w:hideMark/>
          </w:tcPr>
          <w:p w:rsidR="00F02DC3" w:rsidRPr="00F02DC3" w:rsidRDefault="00F02DC3" w:rsidP="00F02DC3">
            <w:pPr>
              <w:spacing w:after="0" w:line="240" w:lineRule="auto"/>
              <w:rPr>
                <w:rFonts w:ascii="Times New Roman" w:eastAsia="Times New Roman" w:hAnsi="Times New Roman" w:cs="Times New Roman"/>
                <w:sz w:val="24"/>
                <w:szCs w:val="24"/>
                <w:lang w:eastAsia="en-IN" w:bidi="bn-IN"/>
              </w:rPr>
            </w:pPr>
          </w:p>
        </w:tc>
        <w:tc>
          <w:tcPr>
            <w:tcW w:w="2043" w:type="dxa"/>
            <w:gridSpan w:val="2"/>
            <w:tcBorders>
              <w:top w:val="nil"/>
              <w:left w:val="nil"/>
              <w:bottom w:val="nil"/>
              <w:right w:val="nil"/>
            </w:tcBorders>
            <w:shd w:val="clear" w:color="auto" w:fill="auto"/>
            <w:noWrap/>
            <w:vAlign w:val="bottom"/>
            <w:hideMark/>
          </w:tcPr>
          <w:p w:rsidR="00F02DC3" w:rsidRPr="00F02DC3" w:rsidRDefault="00F02DC3" w:rsidP="00F02DC3">
            <w:pPr>
              <w:spacing w:after="0" w:line="240" w:lineRule="auto"/>
              <w:rPr>
                <w:rFonts w:ascii="Times New Roman" w:eastAsia="Times New Roman" w:hAnsi="Times New Roman" w:cs="Times New Roman"/>
                <w:sz w:val="24"/>
                <w:szCs w:val="24"/>
                <w:lang w:eastAsia="en-IN" w:bidi="bn-IN"/>
              </w:rPr>
            </w:pPr>
          </w:p>
        </w:tc>
        <w:tc>
          <w:tcPr>
            <w:tcW w:w="1501" w:type="dxa"/>
            <w:gridSpan w:val="2"/>
            <w:tcBorders>
              <w:top w:val="nil"/>
              <w:left w:val="nil"/>
              <w:bottom w:val="nil"/>
              <w:right w:val="nil"/>
            </w:tcBorders>
            <w:shd w:val="clear" w:color="auto" w:fill="auto"/>
            <w:noWrap/>
            <w:vAlign w:val="bottom"/>
            <w:hideMark/>
          </w:tcPr>
          <w:p w:rsidR="00FD7932" w:rsidRDefault="00FD7932" w:rsidP="00F02DC3">
            <w:pPr>
              <w:spacing w:after="0" w:line="240" w:lineRule="auto"/>
              <w:rPr>
                <w:rFonts w:ascii="Times New Roman" w:eastAsia="Times New Roman" w:hAnsi="Times New Roman" w:cs="Times New Roman"/>
                <w:b/>
                <w:bCs/>
                <w:color w:val="365F91" w:themeColor="accent1" w:themeShade="BF"/>
                <w:sz w:val="24"/>
                <w:szCs w:val="24"/>
                <w:lang w:eastAsia="en-IN" w:bidi="bn-IN"/>
              </w:rPr>
            </w:pPr>
          </w:p>
          <w:p w:rsidR="00F02DC3" w:rsidRPr="003167BB" w:rsidRDefault="00D06726" w:rsidP="00F02DC3">
            <w:pPr>
              <w:spacing w:after="0" w:line="240" w:lineRule="auto"/>
              <w:rPr>
                <w:rFonts w:ascii="Times New Roman" w:eastAsia="Times New Roman" w:hAnsi="Times New Roman" w:cs="Times New Roman"/>
                <w:b/>
                <w:bCs/>
                <w:color w:val="365F91" w:themeColor="accent1" w:themeShade="BF"/>
                <w:sz w:val="24"/>
                <w:szCs w:val="24"/>
                <w:lang w:eastAsia="en-IN" w:bidi="bn-IN"/>
              </w:rPr>
            </w:pPr>
            <w:r>
              <w:rPr>
                <w:rFonts w:ascii="Times New Roman" w:eastAsia="Times New Roman" w:hAnsi="Times New Roman" w:cs="Times New Roman"/>
                <w:b/>
                <w:bCs/>
                <w:color w:val="365F91" w:themeColor="accent1" w:themeShade="BF"/>
                <w:sz w:val="24"/>
                <w:szCs w:val="24"/>
                <w:lang w:eastAsia="en-IN" w:bidi="bn-IN"/>
              </w:rPr>
              <w:lastRenderedPageBreak/>
              <w:t xml:space="preserve">   </w:t>
            </w:r>
            <w:r w:rsidR="00F02DC3" w:rsidRPr="003167BB">
              <w:rPr>
                <w:rFonts w:ascii="Times New Roman" w:eastAsia="Times New Roman" w:hAnsi="Times New Roman" w:cs="Times New Roman"/>
                <w:b/>
                <w:bCs/>
                <w:color w:val="365F91" w:themeColor="accent1" w:themeShade="BF"/>
                <w:sz w:val="24"/>
                <w:szCs w:val="24"/>
                <w:lang w:eastAsia="en-IN" w:bidi="bn-IN"/>
              </w:rPr>
              <w:t>TABLE -5</w:t>
            </w:r>
          </w:p>
        </w:tc>
        <w:tc>
          <w:tcPr>
            <w:tcW w:w="650" w:type="dxa"/>
            <w:gridSpan w:val="2"/>
            <w:tcBorders>
              <w:top w:val="nil"/>
              <w:left w:val="nil"/>
              <w:bottom w:val="nil"/>
              <w:right w:val="nil"/>
            </w:tcBorders>
            <w:shd w:val="clear" w:color="auto" w:fill="auto"/>
            <w:noWrap/>
            <w:vAlign w:val="bottom"/>
            <w:hideMark/>
          </w:tcPr>
          <w:p w:rsidR="00F02DC3" w:rsidRPr="00F02DC3" w:rsidRDefault="00F02DC3" w:rsidP="00F02DC3">
            <w:pPr>
              <w:spacing w:after="0" w:line="240" w:lineRule="auto"/>
              <w:rPr>
                <w:rFonts w:ascii="Times New Roman" w:eastAsia="Times New Roman" w:hAnsi="Times New Roman" w:cs="Times New Roman"/>
                <w:sz w:val="24"/>
                <w:szCs w:val="24"/>
                <w:lang w:eastAsia="en-IN" w:bidi="bn-IN"/>
              </w:rPr>
            </w:pPr>
          </w:p>
        </w:tc>
        <w:tc>
          <w:tcPr>
            <w:tcW w:w="1837" w:type="dxa"/>
            <w:gridSpan w:val="3"/>
            <w:tcBorders>
              <w:top w:val="nil"/>
              <w:left w:val="nil"/>
              <w:bottom w:val="nil"/>
              <w:right w:val="nil"/>
            </w:tcBorders>
            <w:shd w:val="clear" w:color="auto" w:fill="auto"/>
            <w:noWrap/>
            <w:vAlign w:val="bottom"/>
            <w:hideMark/>
          </w:tcPr>
          <w:p w:rsidR="00F02DC3" w:rsidRPr="00F02DC3" w:rsidRDefault="00F02DC3" w:rsidP="00F02DC3">
            <w:pPr>
              <w:spacing w:after="0" w:line="240" w:lineRule="auto"/>
              <w:rPr>
                <w:rFonts w:ascii="Times New Roman" w:eastAsia="Times New Roman" w:hAnsi="Times New Roman" w:cs="Times New Roman"/>
                <w:sz w:val="24"/>
                <w:szCs w:val="24"/>
                <w:lang w:eastAsia="en-IN" w:bidi="bn-IN"/>
              </w:rPr>
            </w:pPr>
          </w:p>
        </w:tc>
        <w:tc>
          <w:tcPr>
            <w:tcW w:w="1227" w:type="dxa"/>
            <w:gridSpan w:val="3"/>
            <w:tcBorders>
              <w:top w:val="nil"/>
              <w:left w:val="nil"/>
              <w:bottom w:val="nil"/>
              <w:right w:val="nil"/>
            </w:tcBorders>
            <w:shd w:val="clear" w:color="auto" w:fill="auto"/>
            <w:noWrap/>
            <w:vAlign w:val="bottom"/>
            <w:hideMark/>
          </w:tcPr>
          <w:p w:rsidR="00F02DC3" w:rsidRPr="00F02DC3" w:rsidRDefault="00F02DC3" w:rsidP="00F02DC3">
            <w:pPr>
              <w:spacing w:after="0" w:line="240" w:lineRule="auto"/>
              <w:rPr>
                <w:rFonts w:ascii="Times New Roman" w:eastAsia="Times New Roman" w:hAnsi="Times New Roman" w:cs="Times New Roman"/>
                <w:sz w:val="24"/>
                <w:szCs w:val="24"/>
                <w:lang w:eastAsia="en-IN" w:bidi="bn-IN"/>
              </w:rPr>
            </w:pPr>
          </w:p>
        </w:tc>
        <w:tc>
          <w:tcPr>
            <w:tcW w:w="2282" w:type="dxa"/>
            <w:gridSpan w:val="4"/>
            <w:tcBorders>
              <w:top w:val="nil"/>
              <w:left w:val="nil"/>
              <w:bottom w:val="nil"/>
              <w:right w:val="nil"/>
            </w:tcBorders>
            <w:shd w:val="clear" w:color="auto" w:fill="auto"/>
            <w:noWrap/>
            <w:vAlign w:val="bottom"/>
            <w:hideMark/>
          </w:tcPr>
          <w:p w:rsidR="00F02DC3" w:rsidRPr="00F02DC3" w:rsidRDefault="00F02DC3" w:rsidP="00F02DC3">
            <w:pPr>
              <w:spacing w:after="0" w:line="240" w:lineRule="auto"/>
              <w:rPr>
                <w:rFonts w:ascii="Times New Roman" w:eastAsia="Times New Roman" w:hAnsi="Times New Roman" w:cs="Times New Roman"/>
                <w:sz w:val="24"/>
                <w:szCs w:val="24"/>
                <w:lang w:eastAsia="en-IN" w:bidi="bn-IN"/>
              </w:rPr>
            </w:pPr>
          </w:p>
        </w:tc>
        <w:tc>
          <w:tcPr>
            <w:tcW w:w="249" w:type="dxa"/>
            <w:gridSpan w:val="2"/>
            <w:tcBorders>
              <w:top w:val="nil"/>
              <w:left w:val="nil"/>
              <w:bottom w:val="nil"/>
              <w:right w:val="nil"/>
            </w:tcBorders>
            <w:shd w:val="clear" w:color="auto" w:fill="auto"/>
            <w:noWrap/>
            <w:vAlign w:val="bottom"/>
            <w:hideMark/>
          </w:tcPr>
          <w:p w:rsidR="00F02DC3" w:rsidRPr="00F02DC3" w:rsidRDefault="00F02DC3" w:rsidP="00F02DC3">
            <w:pPr>
              <w:spacing w:after="0" w:line="240" w:lineRule="auto"/>
              <w:rPr>
                <w:rFonts w:ascii="Times New Roman" w:eastAsia="Times New Roman" w:hAnsi="Times New Roman" w:cs="Times New Roman"/>
                <w:sz w:val="24"/>
                <w:szCs w:val="24"/>
                <w:lang w:eastAsia="en-IN" w:bidi="bn-IN"/>
              </w:rPr>
            </w:pPr>
          </w:p>
        </w:tc>
      </w:tr>
      <w:tr w:rsidR="00BE366C" w:rsidRPr="00BE366C" w:rsidTr="00292CA5">
        <w:trPr>
          <w:gridAfter w:val="3"/>
          <w:wAfter w:w="686" w:type="dxa"/>
          <w:trHeight w:val="80"/>
        </w:trPr>
        <w:tc>
          <w:tcPr>
            <w:tcW w:w="11090" w:type="dxa"/>
            <w:gridSpan w:val="18"/>
            <w:tcBorders>
              <w:top w:val="nil"/>
              <w:left w:val="nil"/>
              <w:bottom w:val="nil"/>
              <w:right w:val="nil"/>
            </w:tcBorders>
            <w:shd w:val="clear" w:color="auto" w:fill="auto"/>
            <w:noWrap/>
            <w:vAlign w:val="bottom"/>
            <w:hideMark/>
          </w:tcPr>
          <w:p w:rsidR="00BE366C" w:rsidRPr="00BE366C" w:rsidRDefault="00BE366C" w:rsidP="00BE366C">
            <w:pPr>
              <w:spacing w:after="0" w:line="240" w:lineRule="auto"/>
              <w:jc w:val="center"/>
              <w:rPr>
                <w:rFonts w:ascii="Times New Roman" w:eastAsia="Times New Roman" w:hAnsi="Times New Roman" w:cs="Times New Roman"/>
                <w:b/>
                <w:bCs/>
                <w:sz w:val="24"/>
                <w:szCs w:val="24"/>
                <w:lang w:eastAsia="en-IN" w:bidi="bn-IN"/>
              </w:rPr>
            </w:pPr>
            <w:r>
              <w:rPr>
                <w:rFonts w:ascii="Times New Roman" w:eastAsia="Times New Roman" w:hAnsi="Times New Roman" w:cs="Times New Roman"/>
                <w:b/>
                <w:bCs/>
                <w:sz w:val="24"/>
                <w:szCs w:val="24"/>
                <w:lang w:eastAsia="en-IN" w:bidi="bn-IN"/>
              </w:rPr>
              <w:lastRenderedPageBreak/>
              <w:t xml:space="preserve"> </w:t>
            </w:r>
            <w:r w:rsidRPr="00BE366C">
              <w:rPr>
                <w:rFonts w:ascii="Times New Roman" w:eastAsia="Times New Roman" w:hAnsi="Times New Roman" w:cs="Times New Roman"/>
                <w:b/>
                <w:bCs/>
                <w:sz w:val="24"/>
                <w:szCs w:val="24"/>
                <w:lang w:eastAsia="en-IN" w:bidi="bn-IN"/>
              </w:rPr>
              <w:t xml:space="preserve">INDIA'S MAJOR ITEMS OF MERCHANDISE IMPORTS FROM </w:t>
            </w:r>
            <w:r w:rsidR="00A44803">
              <w:rPr>
                <w:rFonts w:ascii="Times New Roman" w:eastAsia="Times New Roman" w:hAnsi="Times New Roman" w:cs="Times New Roman"/>
                <w:b/>
                <w:bCs/>
                <w:sz w:val="24"/>
                <w:szCs w:val="24"/>
                <w:lang w:eastAsia="en-IN" w:bidi="bn-IN"/>
              </w:rPr>
              <w:t>BENIN</w:t>
            </w:r>
          </w:p>
        </w:tc>
      </w:tr>
      <w:tr w:rsidR="00BE366C" w:rsidRPr="00BE366C" w:rsidTr="00292CA5">
        <w:trPr>
          <w:gridAfter w:val="3"/>
          <w:wAfter w:w="686" w:type="dxa"/>
          <w:trHeight w:val="80"/>
        </w:trPr>
        <w:tc>
          <w:tcPr>
            <w:tcW w:w="11090" w:type="dxa"/>
            <w:gridSpan w:val="18"/>
            <w:tcBorders>
              <w:top w:val="nil"/>
              <w:left w:val="nil"/>
              <w:bottom w:val="nil"/>
              <w:right w:val="nil"/>
            </w:tcBorders>
            <w:shd w:val="clear" w:color="auto" w:fill="auto"/>
            <w:noWrap/>
            <w:vAlign w:val="bottom"/>
            <w:hideMark/>
          </w:tcPr>
          <w:p w:rsidR="00BE366C" w:rsidRPr="00BE366C" w:rsidRDefault="00236484" w:rsidP="00BE366C">
            <w:pPr>
              <w:spacing w:after="0" w:line="240" w:lineRule="auto"/>
              <w:jc w:val="center"/>
              <w:rPr>
                <w:rFonts w:ascii="Times New Roman" w:eastAsia="Times New Roman" w:hAnsi="Times New Roman" w:cs="Times New Roman"/>
                <w:b/>
                <w:bCs/>
                <w:sz w:val="24"/>
                <w:szCs w:val="24"/>
                <w:lang w:eastAsia="en-IN" w:bidi="bn-IN"/>
              </w:rPr>
            </w:pPr>
            <w:r>
              <w:rPr>
                <w:rFonts w:ascii="Times New Roman" w:eastAsia="Times New Roman" w:hAnsi="Times New Roman" w:cs="Times New Roman"/>
                <w:b/>
                <w:bCs/>
                <w:sz w:val="24"/>
                <w:szCs w:val="24"/>
                <w:lang w:eastAsia="en-IN" w:bidi="bn-IN"/>
              </w:rPr>
              <w:t xml:space="preserve"> </w:t>
            </w:r>
            <w:r w:rsidR="00BE366C" w:rsidRPr="00BE366C">
              <w:rPr>
                <w:rFonts w:ascii="Times New Roman" w:eastAsia="Times New Roman" w:hAnsi="Times New Roman" w:cs="Times New Roman"/>
                <w:b/>
                <w:bCs/>
                <w:sz w:val="24"/>
                <w:szCs w:val="24"/>
                <w:lang w:eastAsia="en-IN" w:bidi="bn-IN"/>
              </w:rPr>
              <w:t>2020-2021 TO 2024-2025 AND THEIR GROWTH RATES</w:t>
            </w:r>
          </w:p>
        </w:tc>
      </w:tr>
      <w:tr w:rsidR="00292CA5" w:rsidRPr="00292CA5" w:rsidTr="00292CA5">
        <w:trPr>
          <w:gridAfter w:val="1"/>
          <w:wAfter w:w="152" w:type="dxa"/>
          <w:trHeight w:val="80"/>
        </w:trPr>
        <w:tc>
          <w:tcPr>
            <w:tcW w:w="11624" w:type="dxa"/>
            <w:gridSpan w:val="20"/>
            <w:tcBorders>
              <w:top w:val="nil"/>
              <w:left w:val="nil"/>
              <w:bottom w:val="single" w:sz="4" w:space="0" w:color="auto"/>
              <w:right w:val="nil"/>
            </w:tcBorders>
            <w:shd w:val="clear" w:color="auto" w:fill="auto"/>
            <w:noWrap/>
            <w:vAlign w:val="bottom"/>
            <w:hideMark/>
          </w:tcPr>
          <w:p w:rsidR="00292CA5" w:rsidRPr="00292CA5" w:rsidRDefault="00292CA5" w:rsidP="00292CA5">
            <w:pPr>
              <w:spacing w:after="0" w:line="240" w:lineRule="auto"/>
              <w:jc w:val="right"/>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 xml:space="preserve"> (Value in USD Million)</w:t>
            </w:r>
          </w:p>
        </w:tc>
      </w:tr>
      <w:tr w:rsidR="00292CA5" w:rsidRPr="00292CA5" w:rsidTr="008F0583">
        <w:trPr>
          <w:gridAfter w:val="1"/>
          <w:wAfter w:w="152" w:type="dxa"/>
          <w:trHeight w:val="477"/>
        </w:trPr>
        <w:tc>
          <w:tcPr>
            <w:tcW w:w="646" w:type="dxa"/>
            <w:gridSpan w:val="2"/>
            <w:tcBorders>
              <w:top w:val="nil"/>
              <w:left w:val="single" w:sz="4" w:space="0" w:color="auto"/>
              <w:bottom w:val="nil"/>
              <w:right w:val="nil"/>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Sl. No.</w:t>
            </w:r>
          </w:p>
        </w:tc>
        <w:tc>
          <w:tcPr>
            <w:tcW w:w="3324" w:type="dxa"/>
            <w:gridSpan w:val="2"/>
            <w:tcBorders>
              <w:top w:val="nil"/>
              <w:left w:val="single" w:sz="4" w:space="0" w:color="auto"/>
              <w:bottom w:val="single" w:sz="4" w:space="0" w:color="auto"/>
              <w:right w:val="single" w:sz="4" w:space="0" w:color="auto"/>
            </w:tcBorders>
            <w:shd w:val="clear" w:color="auto" w:fill="auto"/>
            <w:noWrap/>
            <w:vAlign w:val="center"/>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Name of the Merchandise Commodities</w:t>
            </w:r>
          </w:p>
        </w:tc>
        <w:tc>
          <w:tcPr>
            <w:tcW w:w="4252" w:type="dxa"/>
            <w:gridSpan w:val="9"/>
            <w:tcBorders>
              <w:top w:val="single" w:sz="4" w:space="0" w:color="auto"/>
              <w:left w:val="nil"/>
              <w:bottom w:val="single" w:sz="4" w:space="0" w:color="auto"/>
              <w:right w:val="single" w:sz="4" w:space="0" w:color="000000"/>
            </w:tcBorders>
            <w:shd w:val="clear" w:color="auto" w:fill="auto"/>
            <w:noWrap/>
            <w:vAlign w:val="center"/>
            <w:hideMark/>
          </w:tcPr>
          <w:p w:rsidR="00292CA5" w:rsidRPr="00292CA5" w:rsidRDefault="00BF576B" w:rsidP="00292CA5">
            <w:pPr>
              <w:spacing w:after="0" w:line="240" w:lineRule="auto"/>
              <w:jc w:val="center"/>
              <w:rPr>
                <w:rFonts w:ascii="Times New Roman" w:eastAsia="Times New Roman" w:hAnsi="Times New Roman" w:cs="Times New Roman"/>
                <w:b/>
                <w:bCs/>
                <w:sz w:val="18"/>
                <w:szCs w:val="18"/>
                <w:lang w:eastAsia="en-IN" w:bidi="bn-IN"/>
              </w:rPr>
            </w:pPr>
            <w:r>
              <w:rPr>
                <w:rFonts w:ascii="Times New Roman" w:eastAsia="Times New Roman" w:hAnsi="Times New Roman" w:cs="Times New Roman"/>
                <w:b/>
                <w:bCs/>
                <w:sz w:val="18"/>
                <w:szCs w:val="18"/>
                <w:lang w:eastAsia="en-IN" w:bidi="bn-IN"/>
              </w:rPr>
              <w:t xml:space="preserve">    </w:t>
            </w:r>
            <w:r w:rsidR="00292CA5" w:rsidRPr="00292CA5">
              <w:rPr>
                <w:rFonts w:ascii="Times New Roman" w:eastAsia="Times New Roman" w:hAnsi="Times New Roman" w:cs="Times New Roman"/>
                <w:b/>
                <w:bCs/>
                <w:sz w:val="18"/>
                <w:szCs w:val="18"/>
                <w:lang w:eastAsia="en-IN" w:bidi="bn-IN"/>
              </w:rPr>
              <w:t>Value of Import</w:t>
            </w:r>
          </w:p>
        </w:tc>
        <w:tc>
          <w:tcPr>
            <w:tcW w:w="3402" w:type="dxa"/>
            <w:gridSpan w:val="7"/>
            <w:tcBorders>
              <w:top w:val="nil"/>
              <w:left w:val="nil"/>
              <w:bottom w:val="nil"/>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Annual Growth Rates</w:t>
            </w:r>
          </w:p>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r>
      <w:tr w:rsidR="00292CA5" w:rsidRPr="00292CA5" w:rsidTr="00BF576B">
        <w:trPr>
          <w:gridAfter w:val="1"/>
          <w:wAfter w:w="152" w:type="dxa"/>
          <w:trHeight w:val="206"/>
        </w:trPr>
        <w:tc>
          <w:tcPr>
            <w:tcW w:w="646" w:type="dxa"/>
            <w:gridSpan w:val="2"/>
            <w:tcBorders>
              <w:top w:val="nil"/>
              <w:left w:val="single" w:sz="4" w:space="0" w:color="auto"/>
              <w:bottom w:val="nil"/>
              <w:right w:val="nil"/>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 </w:t>
            </w:r>
          </w:p>
        </w:tc>
        <w:tc>
          <w:tcPr>
            <w:tcW w:w="3324" w:type="dxa"/>
            <w:gridSpan w:val="2"/>
            <w:tcBorders>
              <w:top w:val="nil"/>
              <w:left w:val="single" w:sz="4" w:space="0" w:color="auto"/>
              <w:bottom w:val="nil"/>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 </w:t>
            </w:r>
          </w:p>
        </w:tc>
        <w:tc>
          <w:tcPr>
            <w:tcW w:w="850" w:type="dxa"/>
            <w:gridSpan w:val="2"/>
            <w:tcBorders>
              <w:top w:val="nil"/>
              <w:left w:val="nil"/>
              <w:bottom w:val="nil"/>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2020-21</w:t>
            </w:r>
          </w:p>
        </w:tc>
        <w:tc>
          <w:tcPr>
            <w:tcW w:w="851" w:type="dxa"/>
            <w:gridSpan w:val="2"/>
            <w:tcBorders>
              <w:top w:val="nil"/>
              <w:left w:val="nil"/>
              <w:bottom w:val="nil"/>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2021-22</w:t>
            </w:r>
          </w:p>
        </w:tc>
        <w:tc>
          <w:tcPr>
            <w:tcW w:w="850" w:type="dxa"/>
            <w:gridSpan w:val="2"/>
            <w:tcBorders>
              <w:top w:val="nil"/>
              <w:left w:val="nil"/>
              <w:bottom w:val="nil"/>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2022-23</w:t>
            </w:r>
          </w:p>
        </w:tc>
        <w:tc>
          <w:tcPr>
            <w:tcW w:w="851" w:type="dxa"/>
            <w:tcBorders>
              <w:top w:val="nil"/>
              <w:left w:val="nil"/>
              <w:bottom w:val="nil"/>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2023-24</w:t>
            </w:r>
          </w:p>
        </w:tc>
        <w:tc>
          <w:tcPr>
            <w:tcW w:w="850" w:type="dxa"/>
            <w:gridSpan w:val="2"/>
            <w:tcBorders>
              <w:top w:val="nil"/>
              <w:left w:val="nil"/>
              <w:bottom w:val="nil"/>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2024-25</w:t>
            </w:r>
          </w:p>
        </w:tc>
        <w:tc>
          <w:tcPr>
            <w:tcW w:w="836" w:type="dxa"/>
            <w:tcBorders>
              <w:top w:val="single" w:sz="4" w:space="0" w:color="auto"/>
              <w:left w:val="nil"/>
              <w:bottom w:val="nil"/>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21-22 over</w:t>
            </w:r>
          </w:p>
        </w:tc>
        <w:tc>
          <w:tcPr>
            <w:tcW w:w="851" w:type="dxa"/>
            <w:gridSpan w:val="2"/>
            <w:tcBorders>
              <w:top w:val="single" w:sz="4" w:space="0" w:color="auto"/>
              <w:left w:val="nil"/>
              <w:bottom w:val="nil"/>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22-23 over</w:t>
            </w:r>
          </w:p>
        </w:tc>
        <w:tc>
          <w:tcPr>
            <w:tcW w:w="850" w:type="dxa"/>
            <w:tcBorders>
              <w:top w:val="single" w:sz="4" w:space="0" w:color="auto"/>
              <w:left w:val="nil"/>
              <w:bottom w:val="nil"/>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23-24 over</w:t>
            </w:r>
          </w:p>
        </w:tc>
        <w:tc>
          <w:tcPr>
            <w:tcW w:w="865" w:type="dxa"/>
            <w:gridSpan w:val="3"/>
            <w:tcBorders>
              <w:top w:val="single" w:sz="4" w:space="0" w:color="auto"/>
              <w:left w:val="nil"/>
              <w:bottom w:val="nil"/>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24-25 over</w:t>
            </w:r>
          </w:p>
        </w:tc>
      </w:tr>
      <w:tr w:rsidR="00292CA5" w:rsidRPr="00292CA5" w:rsidTr="00BF576B">
        <w:trPr>
          <w:gridAfter w:val="1"/>
          <w:wAfter w:w="152" w:type="dxa"/>
          <w:trHeight w:val="80"/>
        </w:trPr>
        <w:tc>
          <w:tcPr>
            <w:tcW w:w="646" w:type="dxa"/>
            <w:gridSpan w:val="2"/>
            <w:tcBorders>
              <w:top w:val="nil"/>
              <w:left w:val="single" w:sz="4" w:space="0" w:color="auto"/>
              <w:bottom w:val="single" w:sz="4" w:space="0" w:color="auto"/>
              <w:right w:val="nil"/>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 </w:t>
            </w:r>
          </w:p>
        </w:tc>
        <w:tc>
          <w:tcPr>
            <w:tcW w:w="3324"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1" w:type="dxa"/>
            <w:tcBorders>
              <w:top w:val="nil"/>
              <w:left w:val="nil"/>
              <w:bottom w:val="single" w:sz="4" w:space="0" w:color="auto"/>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36" w:type="dxa"/>
            <w:tcBorders>
              <w:top w:val="nil"/>
              <w:left w:val="nil"/>
              <w:bottom w:val="single" w:sz="4" w:space="0" w:color="auto"/>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2020-21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2021-22</w:t>
            </w:r>
          </w:p>
        </w:tc>
        <w:tc>
          <w:tcPr>
            <w:tcW w:w="850" w:type="dxa"/>
            <w:tcBorders>
              <w:top w:val="nil"/>
              <w:left w:val="nil"/>
              <w:bottom w:val="single" w:sz="4" w:space="0" w:color="auto"/>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2022-23</w:t>
            </w:r>
          </w:p>
        </w:tc>
        <w:tc>
          <w:tcPr>
            <w:tcW w:w="865" w:type="dxa"/>
            <w:gridSpan w:val="3"/>
            <w:tcBorders>
              <w:top w:val="nil"/>
              <w:left w:val="nil"/>
              <w:bottom w:val="single" w:sz="4" w:space="0" w:color="auto"/>
              <w:right w:val="single" w:sz="4" w:space="0" w:color="auto"/>
            </w:tcBorders>
            <w:shd w:val="clear" w:color="auto" w:fill="auto"/>
            <w:noWrap/>
            <w:vAlign w:val="bottom"/>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2023-24</w:t>
            </w: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OTHER OIL SEEDS</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105.22</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59.56</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109.09</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38.02</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52.27</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-43.39</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83.16</w:t>
            </w: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-65.15</w:t>
            </w: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37.49</w:t>
            </w: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 </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Share in total import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32.28</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14.81</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24.10</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17.72</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40.05</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VEGETABLE OILS</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1.27</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13.64</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6.23</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9.01</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18.05</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974.02</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-54.33</w:t>
            </w: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44.62</w:t>
            </w: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100.38</w:t>
            </w: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 </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Share in total import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0.39</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3.39</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1.38</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4.20</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13.83</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3</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PLYWOOD AND ALLIED PRODUCTS</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21.80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27.12</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29.94</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20.16</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15.68</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24.40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10.40</w:t>
            </w: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-32.67</w:t>
            </w: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-22.23</w:t>
            </w: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 </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Share in total import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6.69</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6.74</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6.62</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9.40</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12.01</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4</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OIL MEALS</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8.67</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17.97</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16.86</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9.42</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12.65</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107.27</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-6.18</w:t>
            </w: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-44.13</w:t>
            </w: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34.30</w:t>
            </w: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 </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Share in total import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2.66</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4.47</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3.73</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4.39</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9.69</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5</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OTHER WOOD AND WOOD PRODUCTS</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9.93</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14.40</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11.72</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13.55</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10.68</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45.02</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-18.61</w:t>
            </w: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15.61</w:t>
            </w: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-21.17</w:t>
            </w: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 </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Share in total import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3.05</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3.58</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2.59</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6.31</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8.18</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6</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CASHEW</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176.63</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250.47</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271.03</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121.72</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8.71</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41.80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8.21</w:t>
            </w: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-55.09</w:t>
            </w: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-92.85</w:t>
            </w: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 </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Share in total import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54.19</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62.29</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59.89</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56.73</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6.67</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7</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ALUMINIUM, PRODUCTS OF ALUMINM</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0.30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1.06</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1.22</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1.11</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7.19</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253.33</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15.09</w:t>
            </w: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-9.02</w:t>
            </w: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547.66</w:t>
            </w: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 </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Share in total import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0.09</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0.26</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0.27</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0.52</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5.51</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8</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COTTON RAW INCLD. WASTE</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1.07</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0.25</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4.56</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0.15</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2.84</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-76.64</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1724.00</w:t>
            </w: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-96.71</w:t>
            </w: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1795.43</w:t>
            </w: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 </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Share in total import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0.33</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0.06</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1.01</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0.07</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2.18</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9</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CASHEW NUT SHELL LIQUID</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0.30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0.03</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0.37</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0.62</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0.65</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-90.00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1133.33</w:t>
            </w: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67.57</w:t>
            </w: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5.15</w:t>
            </w: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 </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Share in total import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0.09</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0.01</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0.08</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0.29</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0.50</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10</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INDL. MACHNRY FOR DAIRY ETC</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0.13</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0.49</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279.19</w:t>
            </w: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 </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Share in total import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0.00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0.00</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0.00</w:t>
            </w:r>
          </w:p>
        </w:tc>
        <w:tc>
          <w:tcPr>
            <w:tcW w:w="851"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0.06</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sz w:val="18"/>
                <w:szCs w:val="18"/>
                <w:lang w:eastAsia="en-IN" w:bidi="bn-IN"/>
              </w:rPr>
            </w:pPr>
            <w:r w:rsidRPr="00292CA5">
              <w:rPr>
                <w:rFonts w:ascii="Times New Roman" w:eastAsia="Times New Roman" w:hAnsi="Times New Roman" w:cs="Times New Roman"/>
                <w:sz w:val="18"/>
                <w:szCs w:val="18"/>
                <w:lang w:eastAsia="en-IN" w:bidi="bn-IN"/>
              </w:rPr>
              <w:t>0.38</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p>
        </w:tc>
      </w:tr>
      <w:tr w:rsidR="00292CA5" w:rsidRPr="00292CA5" w:rsidTr="00BF576B">
        <w:trPr>
          <w:gridAfter w:val="1"/>
          <w:wAfter w:w="152" w:type="dxa"/>
          <w:trHeight w:val="255"/>
        </w:trPr>
        <w:tc>
          <w:tcPr>
            <w:tcW w:w="646" w:type="dxa"/>
            <w:gridSpan w:val="2"/>
            <w:tcBorders>
              <w:top w:val="nil"/>
              <w:left w:val="single" w:sz="4" w:space="0" w:color="auto"/>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 </w:t>
            </w:r>
          </w:p>
        </w:tc>
        <w:tc>
          <w:tcPr>
            <w:tcW w:w="3324" w:type="dxa"/>
            <w:gridSpan w:val="2"/>
            <w:tcBorders>
              <w:top w:val="nil"/>
              <w:left w:val="nil"/>
              <w:bottom w:val="single" w:sz="4" w:space="0" w:color="auto"/>
              <w:right w:val="single" w:sz="4" w:space="0" w:color="auto"/>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Total import from BENIN</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325.97</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402.12</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452.58</w:t>
            </w:r>
          </w:p>
        </w:tc>
        <w:tc>
          <w:tcPr>
            <w:tcW w:w="851" w:type="dxa"/>
            <w:tcBorders>
              <w:top w:val="nil"/>
              <w:left w:val="nil"/>
              <w:bottom w:val="single" w:sz="4" w:space="0" w:color="auto"/>
              <w:right w:val="single" w:sz="4" w:space="0" w:color="auto"/>
            </w:tcBorders>
            <w:shd w:val="clear" w:color="000000" w:fill="FFFFFF"/>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214.57</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130.51</w:t>
            </w:r>
          </w:p>
        </w:tc>
        <w:tc>
          <w:tcPr>
            <w:tcW w:w="836"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23.36</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12.55</w:t>
            </w:r>
          </w:p>
        </w:tc>
        <w:tc>
          <w:tcPr>
            <w:tcW w:w="850" w:type="dxa"/>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-52.59</w:t>
            </w:r>
          </w:p>
        </w:tc>
        <w:tc>
          <w:tcPr>
            <w:tcW w:w="865" w:type="dxa"/>
            <w:gridSpan w:val="3"/>
            <w:tcBorders>
              <w:top w:val="nil"/>
              <w:left w:val="nil"/>
              <w:bottom w:val="single" w:sz="4" w:space="0" w:color="auto"/>
              <w:right w:val="single" w:sz="4" w:space="0" w:color="auto"/>
            </w:tcBorders>
            <w:shd w:val="clear" w:color="auto" w:fill="auto"/>
            <w:noWrap/>
            <w:vAlign w:val="center"/>
            <w:hideMark/>
          </w:tcPr>
          <w:p w:rsidR="00292CA5" w:rsidRPr="00292CA5" w:rsidRDefault="00292CA5" w:rsidP="00BF576B">
            <w:pPr>
              <w:spacing w:after="0" w:line="240" w:lineRule="auto"/>
              <w:jc w:val="center"/>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-39.17</w:t>
            </w:r>
          </w:p>
        </w:tc>
      </w:tr>
      <w:tr w:rsidR="00292CA5" w:rsidRPr="00292CA5" w:rsidTr="008F0583">
        <w:trPr>
          <w:gridAfter w:val="1"/>
          <w:wAfter w:w="152" w:type="dxa"/>
          <w:trHeight w:val="70"/>
        </w:trPr>
        <w:tc>
          <w:tcPr>
            <w:tcW w:w="11624" w:type="dxa"/>
            <w:gridSpan w:val="20"/>
            <w:tcBorders>
              <w:top w:val="single" w:sz="4" w:space="0" w:color="auto"/>
              <w:left w:val="nil"/>
              <w:bottom w:val="nil"/>
              <w:right w:val="nil"/>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NOTE   :  Figures relate to each Financial Year (April to March)</w:t>
            </w:r>
          </w:p>
        </w:tc>
      </w:tr>
      <w:tr w:rsidR="00292CA5" w:rsidRPr="00292CA5" w:rsidTr="008F0583">
        <w:trPr>
          <w:gridAfter w:val="1"/>
          <w:wAfter w:w="152" w:type="dxa"/>
          <w:trHeight w:val="80"/>
        </w:trPr>
        <w:tc>
          <w:tcPr>
            <w:tcW w:w="11624" w:type="dxa"/>
            <w:gridSpan w:val="20"/>
            <w:tcBorders>
              <w:top w:val="nil"/>
              <w:left w:val="nil"/>
              <w:bottom w:val="nil"/>
              <w:right w:val="nil"/>
            </w:tcBorders>
            <w:shd w:val="clear" w:color="auto" w:fill="auto"/>
            <w:noWrap/>
            <w:vAlign w:val="bottom"/>
            <w:hideMark/>
          </w:tcPr>
          <w:p w:rsidR="00292CA5" w:rsidRPr="00292CA5" w:rsidRDefault="00292CA5" w:rsidP="00292CA5">
            <w:pPr>
              <w:spacing w:after="0" w:line="240" w:lineRule="auto"/>
              <w:rPr>
                <w:rFonts w:ascii="Times New Roman" w:eastAsia="Times New Roman" w:hAnsi="Times New Roman" w:cs="Times New Roman"/>
                <w:b/>
                <w:bCs/>
                <w:sz w:val="18"/>
                <w:szCs w:val="18"/>
                <w:lang w:eastAsia="en-IN" w:bidi="bn-IN"/>
              </w:rPr>
            </w:pPr>
            <w:r w:rsidRPr="00292CA5">
              <w:rPr>
                <w:rFonts w:ascii="Times New Roman" w:eastAsia="Times New Roman" w:hAnsi="Times New Roman" w:cs="Times New Roman"/>
                <w:b/>
                <w:bCs/>
                <w:sz w:val="18"/>
                <w:szCs w:val="18"/>
                <w:lang w:eastAsia="en-IN" w:bidi="bn-IN"/>
              </w:rPr>
              <w:t>SOURCE :  DGCI&amp;S, M/o C&amp;I</w:t>
            </w:r>
          </w:p>
        </w:tc>
      </w:tr>
    </w:tbl>
    <w:p w:rsidR="00292CA5" w:rsidRDefault="00292CA5" w:rsidP="00292CA5">
      <w:pPr>
        <w:pStyle w:val="BodyText"/>
        <w:tabs>
          <w:tab w:val="left" w:pos="5670"/>
        </w:tabs>
        <w:ind w:left="284" w:firstLine="720"/>
        <w:jc w:val="left"/>
        <w:rPr>
          <w:b/>
          <w:color w:val="0070C0"/>
          <w:szCs w:val="24"/>
        </w:rPr>
      </w:pPr>
    </w:p>
    <w:p w:rsidR="008F661D" w:rsidRDefault="008F661D" w:rsidP="008A4171">
      <w:pPr>
        <w:pStyle w:val="BodyText"/>
        <w:tabs>
          <w:tab w:val="left" w:pos="5670"/>
        </w:tabs>
        <w:ind w:left="284" w:firstLine="720"/>
        <w:jc w:val="center"/>
        <w:rPr>
          <w:b/>
          <w:color w:val="0070C0"/>
          <w:szCs w:val="24"/>
        </w:rPr>
      </w:pPr>
    </w:p>
    <w:p w:rsidR="008F661D" w:rsidRDefault="008F661D" w:rsidP="008A4171">
      <w:pPr>
        <w:pStyle w:val="BodyText"/>
        <w:tabs>
          <w:tab w:val="left" w:pos="5670"/>
        </w:tabs>
        <w:ind w:left="284" w:firstLine="720"/>
        <w:jc w:val="center"/>
        <w:rPr>
          <w:b/>
          <w:color w:val="0070C0"/>
          <w:szCs w:val="24"/>
        </w:rPr>
      </w:pPr>
    </w:p>
    <w:p w:rsidR="008F661D" w:rsidRDefault="008F661D" w:rsidP="008A4171">
      <w:pPr>
        <w:pStyle w:val="BodyText"/>
        <w:tabs>
          <w:tab w:val="left" w:pos="5670"/>
        </w:tabs>
        <w:ind w:left="284" w:firstLine="720"/>
        <w:jc w:val="center"/>
        <w:rPr>
          <w:b/>
          <w:color w:val="0070C0"/>
          <w:szCs w:val="24"/>
        </w:rPr>
      </w:pPr>
    </w:p>
    <w:p w:rsidR="008F661D" w:rsidRDefault="008F661D" w:rsidP="008A4171">
      <w:pPr>
        <w:pStyle w:val="BodyText"/>
        <w:tabs>
          <w:tab w:val="left" w:pos="5670"/>
        </w:tabs>
        <w:ind w:left="284" w:firstLine="720"/>
        <w:jc w:val="center"/>
        <w:rPr>
          <w:b/>
          <w:color w:val="0070C0"/>
          <w:szCs w:val="24"/>
        </w:rPr>
      </w:pPr>
    </w:p>
    <w:p w:rsidR="008F661D" w:rsidRDefault="008F661D" w:rsidP="008A4171">
      <w:pPr>
        <w:pStyle w:val="BodyText"/>
        <w:tabs>
          <w:tab w:val="left" w:pos="5670"/>
        </w:tabs>
        <w:ind w:left="284" w:firstLine="720"/>
        <w:jc w:val="center"/>
        <w:rPr>
          <w:b/>
          <w:color w:val="0070C0"/>
          <w:szCs w:val="24"/>
        </w:rPr>
      </w:pPr>
    </w:p>
    <w:p w:rsidR="008F661D" w:rsidRDefault="008F661D" w:rsidP="008A4171">
      <w:pPr>
        <w:pStyle w:val="BodyText"/>
        <w:tabs>
          <w:tab w:val="left" w:pos="5670"/>
        </w:tabs>
        <w:ind w:left="284" w:firstLine="720"/>
        <w:jc w:val="center"/>
        <w:rPr>
          <w:b/>
          <w:color w:val="0070C0"/>
          <w:szCs w:val="24"/>
        </w:rPr>
      </w:pPr>
    </w:p>
    <w:p w:rsidR="008F661D" w:rsidRDefault="008F661D" w:rsidP="008A4171">
      <w:pPr>
        <w:pStyle w:val="BodyText"/>
        <w:tabs>
          <w:tab w:val="left" w:pos="5670"/>
        </w:tabs>
        <w:ind w:left="284" w:firstLine="720"/>
        <w:jc w:val="center"/>
        <w:rPr>
          <w:b/>
          <w:color w:val="0070C0"/>
          <w:szCs w:val="24"/>
        </w:rPr>
      </w:pPr>
    </w:p>
    <w:p w:rsidR="008F661D" w:rsidRDefault="008F661D" w:rsidP="008A4171">
      <w:pPr>
        <w:pStyle w:val="BodyText"/>
        <w:tabs>
          <w:tab w:val="left" w:pos="5670"/>
        </w:tabs>
        <w:ind w:left="284" w:firstLine="720"/>
        <w:jc w:val="center"/>
        <w:rPr>
          <w:b/>
          <w:color w:val="0070C0"/>
          <w:szCs w:val="24"/>
        </w:rPr>
      </w:pPr>
    </w:p>
    <w:p w:rsidR="008F661D" w:rsidRDefault="008F661D" w:rsidP="008A4171">
      <w:pPr>
        <w:pStyle w:val="BodyText"/>
        <w:tabs>
          <w:tab w:val="left" w:pos="5670"/>
        </w:tabs>
        <w:ind w:left="284" w:firstLine="720"/>
        <w:jc w:val="center"/>
        <w:rPr>
          <w:b/>
          <w:color w:val="0070C0"/>
          <w:szCs w:val="24"/>
        </w:rPr>
      </w:pPr>
    </w:p>
    <w:p w:rsidR="008F661D" w:rsidRDefault="008F661D" w:rsidP="008A4171">
      <w:pPr>
        <w:pStyle w:val="BodyText"/>
        <w:tabs>
          <w:tab w:val="left" w:pos="5670"/>
        </w:tabs>
        <w:ind w:left="284" w:firstLine="720"/>
        <w:jc w:val="center"/>
        <w:rPr>
          <w:b/>
          <w:color w:val="0070C0"/>
          <w:szCs w:val="24"/>
        </w:rPr>
      </w:pPr>
    </w:p>
    <w:p w:rsidR="009E4AB8" w:rsidRPr="00A02C47" w:rsidRDefault="009E4AB8" w:rsidP="008A4171">
      <w:pPr>
        <w:pStyle w:val="BodyText"/>
        <w:tabs>
          <w:tab w:val="left" w:pos="5670"/>
        </w:tabs>
        <w:ind w:left="284" w:firstLine="720"/>
        <w:jc w:val="center"/>
        <w:rPr>
          <w:b/>
          <w:color w:val="0070C0"/>
          <w:szCs w:val="24"/>
        </w:rPr>
      </w:pPr>
      <w:r w:rsidRPr="00A02C47">
        <w:rPr>
          <w:b/>
          <w:color w:val="0070C0"/>
          <w:szCs w:val="24"/>
        </w:rPr>
        <w:t>“NOTICE”</w:t>
      </w:r>
    </w:p>
    <w:p w:rsidR="009E4AB8" w:rsidRPr="00A02C47" w:rsidRDefault="009E4AB8" w:rsidP="009E4AB8">
      <w:pPr>
        <w:pStyle w:val="BodyText"/>
        <w:ind w:left="142"/>
        <w:rPr>
          <w:b/>
          <w:color w:val="0070C0"/>
          <w:szCs w:val="24"/>
        </w:rPr>
      </w:pPr>
      <w:r w:rsidRPr="00A02C47">
        <w:rPr>
          <w:b/>
          <w:color w:val="0070C0"/>
          <w:szCs w:val="24"/>
        </w:rPr>
        <w:t>Rights of permission for reproduction in part or entirely of these official papers published in the Indian Trade Journal is reserved by the Directorate General of Commercial Intelligence &amp; Statistics, Kolkata – 700 107.</w:t>
      </w:r>
    </w:p>
    <w:sectPr w:rsidR="009E4AB8" w:rsidRPr="00A02C47" w:rsidSect="00127D2A">
      <w:footerReference w:type="default" r:id="rId12"/>
      <w:pgSz w:w="11906" w:h="16838"/>
      <w:pgMar w:top="709" w:right="424" w:bottom="1701" w:left="42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75B7" w:rsidRDefault="00AB75B7" w:rsidP="00D17CAE">
      <w:pPr>
        <w:spacing w:after="0" w:line="240" w:lineRule="auto"/>
      </w:pPr>
      <w:r>
        <w:separator/>
      </w:r>
    </w:p>
  </w:endnote>
  <w:endnote w:type="continuationSeparator" w:id="1">
    <w:p w:rsidR="00AB75B7" w:rsidRDefault="00AB75B7" w:rsidP="00D17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2639"/>
      <w:docPartObj>
        <w:docPartGallery w:val="Page Numbers (Bottom of Page)"/>
        <w:docPartUnique/>
      </w:docPartObj>
    </w:sdtPr>
    <w:sdtContent>
      <w:p w:rsidR="007D296F" w:rsidRDefault="007D296F">
        <w:pPr>
          <w:pStyle w:val="Footer"/>
          <w:jc w:val="right"/>
        </w:pPr>
        <w:r>
          <w:t xml:space="preserve">Page | </w:t>
        </w:r>
        <w:r w:rsidR="00DD61BE">
          <w:rPr>
            <w:noProof/>
          </w:rPr>
          <w:fldChar w:fldCharType="begin"/>
        </w:r>
        <w:r>
          <w:rPr>
            <w:noProof/>
          </w:rPr>
          <w:instrText xml:space="preserve"> PAGE   \* MERGEFORMAT </w:instrText>
        </w:r>
        <w:r w:rsidR="00DD61BE">
          <w:rPr>
            <w:noProof/>
          </w:rPr>
          <w:fldChar w:fldCharType="separate"/>
        </w:r>
        <w:r w:rsidR="00AE0F3B">
          <w:rPr>
            <w:noProof/>
          </w:rPr>
          <w:t>15</w:t>
        </w:r>
        <w:r w:rsidR="00DD61BE">
          <w:rPr>
            <w:noProof/>
          </w:rPr>
          <w:fldChar w:fldCharType="end"/>
        </w:r>
      </w:p>
    </w:sdtContent>
  </w:sdt>
  <w:p w:rsidR="007D296F" w:rsidRDefault="007D29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75B7" w:rsidRDefault="00AB75B7" w:rsidP="00D17CAE">
      <w:pPr>
        <w:spacing w:after="0" w:line="240" w:lineRule="auto"/>
      </w:pPr>
      <w:r>
        <w:separator/>
      </w:r>
    </w:p>
  </w:footnote>
  <w:footnote w:type="continuationSeparator" w:id="1">
    <w:p w:rsidR="00AB75B7" w:rsidRDefault="00AB75B7" w:rsidP="00D17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46D0B"/>
    <w:multiLevelType w:val="hybridMultilevel"/>
    <w:tmpl w:val="2CE24B46"/>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E5B3112"/>
    <w:multiLevelType w:val="multilevel"/>
    <w:tmpl w:val="D994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A40740"/>
    <w:multiLevelType w:val="multilevel"/>
    <w:tmpl w:val="83D8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5C7B10"/>
    <w:multiLevelType w:val="hybridMultilevel"/>
    <w:tmpl w:val="FEC8D564"/>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33A615CC"/>
    <w:multiLevelType w:val="hybridMultilevel"/>
    <w:tmpl w:val="72DE4122"/>
    <w:lvl w:ilvl="0" w:tplc="0A4C50C2">
      <w:start w:val="1"/>
      <w:numFmt w:val="lowerLetter"/>
      <w:lvlText w:val="%1."/>
      <w:lvlJc w:val="left"/>
      <w:pPr>
        <w:ind w:left="1353" w:hanging="360"/>
      </w:pPr>
      <w:rPr>
        <w:rFonts w:ascii="Times New Roman" w:eastAsia="Times New Roman" w:hAnsi="Times New Roman" w:cs="Times New Roman"/>
      </w:r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5">
    <w:nsid w:val="45E40F57"/>
    <w:multiLevelType w:val="multilevel"/>
    <w:tmpl w:val="7C06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9818B3"/>
    <w:multiLevelType w:val="hybridMultilevel"/>
    <w:tmpl w:val="65FE166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EE74806"/>
    <w:multiLevelType w:val="hybridMultilevel"/>
    <w:tmpl w:val="4BD46AF6"/>
    <w:lvl w:ilvl="0" w:tplc="E62E323A">
      <w:numFmt w:val="bullet"/>
      <w:lvlText w:val=""/>
      <w:lvlJc w:val="left"/>
      <w:pPr>
        <w:ind w:left="1080" w:hanging="360"/>
      </w:pPr>
      <w:rPr>
        <w:rFonts w:ascii="Symbol" w:eastAsia="Times New Roman" w:hAnsi="Symbol" w:cs="Times New Roman"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nsid w:val="501037B1"/>
    <w:multiLevelType w:val="multilevel"/>
    <w:tmpl w:val="9744959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C767158"/>
    <w:multiLevelType w:val="multilevel"/>
    <w:tmpl w:val="3378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0F374B"/>
    <w:multiLevelType w:val="hybridMultilevel"/>
    <w:tmpl w:val="F326830A"/>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1">
    <w:nsid w:val="68AB2C9A"/>
    <w:multiLevelType w:val="multilevel"/>
    <w:tmpl w:val="AE183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396D1F"/>
    <w:multiLevelType w:val="hybridMultilevel"/>
    <w:tmpl w:val="35B4AFDC"/>
    <w:lvl w:ilvl="0" w:tplc="4009000B">
      <w:start w:val="1"/>
      <w:numFmt w:val="bullet"/>
      <w:lvlText w:val=""/>
      <w:lvlJc w:val="left"/>
      <w:pPr>
        <w:ind w:left="1353" w:hanging="360"/>
      </w:pPr>
      <w:rPr>
        <w:rFonts w:ascii="Wingdings" w:hAnsi="Wingdings" w:hint="default"/>
      </w:r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13">
    <w:nsid w:val="7069377A"/>
    <w:multiLevelType w:val="hybridMultilevel"/>
    <w:tmpl w:val="1FF43D9E"/>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788D7C0A"/>
    <w:multiLevelType w:val="hybridMultilevel"/>
    <w:tmpl w:val="B192E114"/>
    <w:lvl w:ilvl="0" w:tplc="8DFA391E">
      <w:numFmt w:val="bullet"/>
      <w:lvlText w:val=""/>
      <w:lvlJc w:val="left"/>
      <w:pPr>
        <w:ind w:left="1800" w:hanging="360"/>
      </w:pPr>
      <w:rPr>
        <w:rFonts w:ascii="Symbol" w:eastAsia="Times New Roman" w:hAnsi="Symbol" w:cs="Times New Roman"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num w:numId="1">
    <w:abstractNumId w:val="4"/>
  </w:num>
  <w:num w:numId="2">
    <w:abstractNumId w:val="14"/>
  </w:num>
  <w:num w:numId="3">
    <w:abstractNumId w:val="3"/>
  </w:num>
  <w:num w:numId="4">
    <w:abstractNumId w:val="13"/>
  </w:num>
  <w:num w:numId="5">
    <w:abstractNumId w:val="7"/>
  </w:num>
  <w:num w:numId="6">
    <w:abstractNumId w:val="8"/>
  </w:num>
  <w:num w:numId="7">
    <w:abstractNumId w:val="11"/>
  </w:num>
  <w:num w:numId="8">
    <w:abstractNumId w:val="6"/>
  </w:num>
  <w:num w:numId="9">
    <w:abstractNumId w:val="0"/>
  </w:num>
  <w:num w:numId="10">
    <w:abstractNumId w:val="1"/>
  </w:num>
  <w:num w:numId="11">
    <w:abstractNumId w:val="5"/>
  </w:num>
  <w:num w:numId="12">
    <w:abstractNumId w:val="9"/>
  </w:num>
  <w:num w:numId="13">
    <w:abstractNumId w:val="2"/>
  </w:num>
  <w:num w:numId="14">
    <w:abstractNumId w:val="12"/>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Pr>
  <w:endnotePr>
    <w:endnote w:id="0"/>
    <w:endnote w:id="1"/>
  </w:endnotePr>
  <w:compat/>
  <w:rsids>
    <w:rsidRoot w:val="009E4AB8"/>
    <w:rsid w:val="000002FB"/>
    <w:rsid w:val="00000822"/>
    <w:rsid w:val="00014DCE"/>
    <w:rsid w:val="00023890"/>
    <w:rsid w:val="000259F5"/>
    <w:rsid w:val="0003094A"/>
    <w:rsid w:val="00040AD8"/>
    <w:rsid w:val="00051656"/>
    <w:rsid w:val="0005674C"/>
    <w:rsid w:val="0006417B"/>
    <w:rsid w:val="0006716B"/>
    <w:rsid w:val="000821EF"/>
    <w:rsid w:val="0008234C"/>
    <w:rsid w:val="000866B7"/>
    <w:rsid w:val="0008671C"/>
    <w:rsid w:val="0009149F"/>
    <w:rsid w:val="00091C05"/>
    <w:rsid w:val="000A105E"/>
    <w:rsid w:val="000C59CF"/>
    <w:rsid w:val="000C6897"/>
    <w:rsid w:val="000C7915"/>
    <w:rsid w:val="000E0C67"/>
    <w:rsid w:val="000E3BCD"/>
    <w:rsid w:val="000F23B8"/>
    <w:rsid w:val="000F499C"/>
    <w:rsid w:val="000F7759"/>
    <w:rsid w:val="00102915"/>
    <w:rsid w:val="00106D3F"/>
    <w:rsid w:val="0011212C"/>
    <w:rsid w:val="00117134"/>
    <w:rsid w:val="001175DD"/>
    <w:rsid w:val="001209B1"/>
    <w:rsid w:val="0012550C"/>
    <w:rsid w:val="00127D2A"/>
    <w:rsid w:val="001340D1"/>
    <w:rsid w:val="00151209"/>
    <w:rsid w:val="00160DF2"/>
    <w:rsid w:val="001659D6"/>
    <w:rsid w:val="00182087"/>
    <w:rsid w:val="00196C29"/>
    <w:rsid w:val="001A5D70"/>
    <w:rsid w:val="001A6ADE"/>
    <w:rsid w:val="001B016A"/>
    <w:rsid w:val="001B074C"/>
    <w:rsid w:val="001B0DDC"/>
    <w:rsid w:val="001B2238"/>
    <w:rsid w:val="001C6682"/>
    <w:rsid w:val="001C736B"/>
    <w:rsid w:val="001E01E7"/>
    <w:rsid w:val="001F63CB"/>
    <w:rsid w:val="002037E5"/>
    <w:rsid w:val="0021359C"/>
    <w:rsid w:val="00213684"/>
    <w:rsid w:val="00225D83"/>
    <w:rsid w:val="0023528A"/>
    <w:rsid w:val="00236484"/>
    <w:rsid w:val="0024518B"/>
    <w:rsid w:val="002454BB"/>
    <w:rsid w:val="00246A76"/>
    <w:rsid w:val="00254413"/>
    <w:rsid w:val="002558D7"/>
    <w:rsid w:val="00256EF2"/>
    <w:rsid w:val="00267F3C"/>
    <w:rsid w:val="0027560C"/>
    <w:rsid w:val="00286F04"/>
    <w:rsid w:val="002900E4"/>
    <w:rsid w:val="002917DB"/>
    <w:rsid w:val="00291ABD"/>
    <w:rsid w:val="00292CA5"/>
    <w:rsid w:val="00296AF4"/>
    <w:rsid w:val="002C3FAC"/>
    <w:rsid w:val="002D4A98"/>
    <w:rsid w:val="002E3DE9"/>
    <w:rsid w:val="002E4CB1"/>
    <w:rsid w:val="002E70EE"/>
    <w:rsid w:val="002F3A13"/>
    <w:rsid w:val="002F3EFA"/>
    <w:rsid w:val="003027E0"/>
    <w:rsid w:val="00303582"/>
    <w:rsid w:val="00304354"/>
    <w:rsid w:val="00311213"/>
    <w:rsid w:val="00315CB4"/>
    <w:rsid w:val="003167BB"/>
    <w:rsid w:val="00320F13"/>
    <w:rsid w:val="00321286"/>
    <w:rsid w:val="00321A0B"/>
    <w:rsid w:val="003228C3"/>
    <w:rsid w:val="003245D4"/>
    <w:rsid w:val="00333396"/>
    <w:rsid w:val="003335DB"/>
    <w:rsid w:val="00336E4E"/>
    <w:rsid w:val="00337833"/>
    <w:rsid w:val="00345D4B"/>
    <w:rsid w:val="00354E7B"/>
    <w:rsid w:val="00357A05"/>
    <w:rsid w:val="003605B2"/>
    <w:rsid w:val="0036196F"/>
    <w:rsid w:val="003655FE"/>
    <w:rsid w:val="00373D6B"/>
    <w:rsid w:val="0039444A"/>
    <w:rsid w:val="003A585B"/>
    <w:rsid w:val="003A7102"/>
    <w:rsid w:val="003B09D4"/>
    <w:rsid w:val="003B12EC"/>
    <w:rsid w:val="003B1C66"/>
    <w:rsid w:val="003B67BB"/>
    <w:rsid w:val="003B6B0B"/>
    <w:rsid w:val="003D227A"/>
    <w:rsid w:val="003E4BA6"/>
    <w:rsid w:val="003E622C"/>
    <w:rsid w:val="003F670F"/>
    <w:rsid w:val="00402A6D"/>
    <w:rsid w:val="00402DF8"/>
    <w:rsid w:val="00413CCD"/>
    <w:rsid w:val="00422CB5"/>
    <w:rsid w:val="00423CAA"/>
    <w:rsid w:val="004242E3"/>
    <w:rsid w:val="00441E33"/>
    <w:rsid w:val="0044444B"/>
    <w:rsid w:val="0044470F"/>
    <w:rsid w:val="00452A20"/>
    <w:rsid w:val="00461DBE"/>
    <w:rsid w:val="0047568F"/>
    <w:rsid w:val="00480437"/>
    <w:rsid w:val="004A3287"/>
    <w:rsid w:val="004B2416"/>
    <w:rsid w:val="004B6700"/>
    <w:rsid w:val="004C2F73"/>
    <w:rsid w:val="004C3F28"/>
    <w:rsid w:val="004D0C31"/>
    <w:rsid w:val="004E3328"/>
    <w:rsid w:val="004F02A7"/>
    <w:rsid w:val="004F030E"/>
    <w:rsid w:val="004F2B59"/>
    <w:rsid w:val="004F48D8"/>
    <w:rsid w:val="005240DC"/>
    <w:rsid w:val="0053213B"/>
    <w:rsid w:val="005323C4"/>
    <w:rsid w:val="005450CE"/>
    <w:rsid w:val="00545623"/>
    <w:rsid w:val="00546D16"/>
    <w:rsid w:val="00554ADB"/>
    <w:rsid w:val="00564367"/>
    <w:rsid w:val="0056462D"/>
    <w:rsid w:val="00576D51"/>
    <w:rsid w:val="005831C3"/>
    <w:rsid w:val="0059037E"/>
    <w:rsid w:val="00594C92"/>
    <w:rsid w:val="005A2052"/>
    <w:rsid w:val="005B590D"/>
    <w:rsid w:val="005B768E"/>
    <w:rsid w:val="005C2AEE"/>
    <w:rsid w:val="005D41A3"/>
    <w:rsid w:val="005D75AF"/>
    <w:rsid w:val="005E2F4E"/>
    <w:rsid w:val="005E4955"/>
    <w:rsid w:val="005E5556"/>
    <w:rsid w:val="005F17BD"/>
    <w:rsid w:val="005F4E31"/>
    <w:rsid w:val="00613129"/>
    <w:rsid w:val="00616F39"/>
    <w:rsid w:val="0061772B"/>
    <w:rsid w:val="0062054B"/>
    <w:rsid w:val="00631120"/>
    <w:rsid w:val="006521CD"/>
    <w:rsid w:val="0066479C"/>
    <w:rsid w:val="0066525B"/>
    <w:rsid w:val="006719F0"/>
    <w:rsid w:val="00684FFE"/>
    <w:rsid w:val="0068721D"/>
    <w:rsid w:val="00692DE3"/>
    <w:rsid w:val="00695BA6"/>
    <w:rsid w:val="0069637E"/>
    <w:rsid w:val="006B2565"/>
    <w:rsid w:val="006B2926"/>
    <w:rsid w:val="006B702E"/>
    <w:rsid w:val="006C06E3"/>
    <w:rsid w:val="006C1B1A"/>
    <w:rsid w:val="006D1E78"/>
    <w:rsid w:val="006E44B2"/>
    <w:rsid w:val="006E5738"/>
    <w:rsid w:val="0070350A"/>
    <w:rsid w:val="00710C37"/>
    <w:rsid w:val="007170D7"/>
    <w:rsid w:val="0071733D"/>
    <w:rsid w:val="00720753"/>
    <w:rsid w:val="007208D1"/>
    <w:rsid w:val="0072324C"/>
    <w:rsid w:val="00723FCB"/>
    <w:rsid w:val="00730CBD"/>
    <w:rsid w:val="007479D1"/>
    <w:rsid w:val="007556C1"/>
    <w:rsid w:val="00762D23"/>
    <w:rsid w:val="007739C7"/>
    <w:rsid w:val="00773A35"/>
    <w:rsid w:val="00784C4D"/>
    <w:rsid w:val="007B7EE4"/>
    <w:rsid w:val="007C5F27"/>
    <w:rsid w:val="007C692A"/>
    <w:rsid w:val="007C6B19"/>
    <w:rsid w:val="007D2337"/>
    <w:rsid w:val="007D296F"/>
    <w:rsid w:val="007D617B"/>
    <w:rsid w:val="007D7DE1"/>
    <w:rsid w:val="007E0270"/>
    <w:rsid w:val="007E20A3"/>
    <w:rsid w:val="007E469D"/>
    <w:rsid w:val="007F27F4"/>
    <w:rsid w:val="007F2B98"/>
    <w:rsid w:val="00800948"/>
    <w:rsid w:val="008018CE"/>
    <w:rsid w:val="00810395"/>
    <w:rsid w:val="00820CB7"/>
    <w:rsid w:val="008210AC"/>
    <w:rsid w:val="00821BC3"/>
    <w:rsid w:val="00824501"/>
    <w:rsid w:val="00825CAE"/>
    <w:rsid w:val="00826A8A"/>
    <w:rsid w:val="0082737D"/>
    <w:rsid w:val="00837A2F"/>
    <w:rsid w:val="008407A1"/>
    <w:rsid w:val="0084244C"/>
    <w:rsid w:val="0084671A"/>
    <w:rsid w:val="008507E2"/>
    <w:rsid w:val="00851B7B"/>
    <w:rsid w:val="008544B4"/>
    <w:rsid w:val="00870E36"/>
    <w:rsid w:val="00871190"/>
    <w:rsid w:val="008732DE"/>
    <w:rsid w:val="0088148F"/>
    <w:rsid w:val="00887426"/>
    <w:rsid w:val="00887A79"/>
    <w:rsid w:val="00890610"/>
    <w:rsid w:val="008A274D"/>
    <w:rsid w:val="008A4171"/>
    <w:rsid w:val="008A72B0"/>
    <w:rsid w:val="008B01AA"/>
    <w:rsid w:val="008B29E7"/>
    <w:rsid w:val="008B4203"/>
    <w:rsid w:val="008B7F15"/>
    <w:rsid w:val="008C0FB6"/>
    <w:rsid w:val="008D568A"/>
    <w:rsid w:val="008E6B12"/>
    <w:rsid w:val="008F0583"/>
    <w:rsid w:val="008F2BC8"/>
    <w:rsid w:val="008F4D59"/>
    <w:rsid w:val="008F661D"/>
    <w:rsid w:val="00905A50"/>
    <w:rsid w:val="009142AB"/>
    <w:rsid w:val="00922629"/>
    <w:rsid w:val="00931A7F"/>
    <w:rsid w:val="00932547"/>
    <w:rsid w:val="00953BE4"/>
    <w:rsid w:val="00954C2E"/>
    <w:rsid w:val="00954E49"/>
    <w:rsid w:val="0096121E"/>
    <w:rsid w:val="00962975"/>
    <w:rsid w:val="00965ED6"/>
    <w:rsid w:val="00970E9B"/>
    <w:rsid w:val="00972748"/>
    <w:rsid w:val="009737D0"/>
    <w:rsid w:val="0098099A"/>
    <w:rsid w:val="009857D8"/>
    <w:rsid w:val="0099050A"/>
    <w:rsid w:val="00990634"/>
    <w:rsid w:val="00990936"/>
    <w:rsid w:val="009A1B6F"/>
    <w:rsid w:val="009A1F71"/>
    <w:rsid w:val="009A1F81"/>
    <w:rsid w:val="009A6203"/>
    <w:rsid w:val="009C48A3"/>
    <w:rsid w:val="009D26D8"/>
    <w:rsid w:val="009D4783"/>
    <w:rsid w:val="009E08DF"/>
    <w:rsid w:val="009E4AB8"/>
    <w:rsid w:val="009F06B8"/>
    <w:rsid w:val="00A0125B"/>
    <w:rsid w:val="00A02C47"/>
    <w:rsid w:val="00A10F0D"/>
    <w:rsid w:val="00A12BA0"/>
    <w:rsid w:val="00A201B9"/>
    <w:rsid w:val="00A228E1"/>
    <w:rsid w:val="00A25B73"/>
    <w:rsid w:val="00A32463"/>
    <w:rsid w:val="00A437F1"/>
    <w:rsid w:val="00A44803"/>
    <w:rsid w:val="00A55CDE"/>
    <w:rsid w:val="00A634BD"/>
    <w:rsid w:val="00A65303"/>
    <w:rsid w:val="00A67B41"/>
    <w:rsid w:val="00A93754"/>
    <w:rsid w:val="00A974FC"/>
    <w:rsid w:val="00AA21EC"/>
    <w:rsid w:val="00AA4692"/>
    <w:rsid w:val="00AA4A23"/>
    <w:rsid w:val="00AA4BA2"/>
    <w:rsid w:val="00AA58BB"/>
    <w:rsid w:val="00AB75B7"/>
    <w:rsid w:val="00AC1D1B"/>
    <w:rsid w:val="00AC7F70"/>
    <w:rsid w:val="00AD0D8A"/>
    <w:rsid w:val="00AD55F1"/>
    <w:rsid w:val="00AD7FD7"/>
    <w:rsid w:val="00AE0F3B"/>
    <w:rsid w:val="00AE63CE"/>
    <w:rsid w:val="00AE6B73"/>
    <w:rsid w:val="00B058CA"/>
    <w:rsid w:val="00B063EC"/>
    <w:rsid w:val="00B077CE"/>
    <w:rsid w:val="00B20A31"/>
    <w:rsid w:val="00B27074"/>
    <w:rsid w:val="00B37F80"/>
    <w:rsid w:val="00B533D5"/>
    <w:rsid w:val="00B64DC3"/>
    <w:rsid w:val="00B66D09"/>
    <w:rsid w:val="00B67A08"/>
    <w:rsid w:val="00B7345D"/>
    <w:rsid w:val="00B77E26"/>
    <w:rsid w:val="00B902D7"/>
    <w:rsid w:val="00B911B6"/>
    <w:rsid w:val="00BA62DC"/>
    <w:rsid w:val="00BB368A"/>
    <w:rsid w:val="00BC219C"/>
    <w:rsid w:val="00BC33ED"/>
    <w:rsid w:val="00BD4A07"/>
    <w:rsid w:val="00BE0448"/>
    <w:rsid w:val="00BE366C"/>
    <w:rsid w:val="00BE63E7"/>
    <w:rsid w:val="00BF1DC5"/>
    <w:rsid w:val="00BF576B"/>
    <w:rsid w:val="00BF7129"/>
    <w:rsid w:val="00C13AC8"/>
    <w:rsid w:val="00C15DA5"/>
    <w:rsid w:val="00C17754"/>
    <w:rsid w:val="00C23F71"/>
    <w:rsid w:val="00C34584"/>
    <w:rsid w:val="00C56420"/>
    <w:rsid w:val="00C575B8"/>
    <w:rsid w:val="00C87688"/>
    <w:rsid w:val="00C900EE"/>
    <w:rsid w:val="00C924CB"/>
    <w:rsid w:val="00CA72D0"/>
    <w:rsid w:val="00CC29B7"/>
    <w:rsid w:val="00CC365D"/>
    <w:rsid w:val="00CC5B73"/>
    <w:rsid w:val="00CD1DA4"/>
    <w:rsid w:val="00CF037F"/>
    <w:rsid w:val="00CF527F"/>
    <w:rsid w:val="00CF65B9"/>
    <w:rsid w:val="00D01DCC"/>
    <w:rsid w:val="00D05470"/>
    <w:rsid w:val="00D06726"/>
    <w:rsid w:val="00D14EDE"/>
    <w:rsid w:val="00D168D7"/>
    <w:rsid w:val="00D17CAE"/>
    <w:rsid w:val="00D240BF"/>
    <w:rsid w:val="00D32854"/>
    <w:rsid w:val="00D3710B"/>
    <w:rsid w:val="00D40390"/>
    <w:rsid w:val="00D42BD3"/>
    <w:rsid w:val="00D53553"/>
    <w:rsid w:val="00D57F0B"/>
    <w:rsid w:val="00D61F33"/>
    <w:rsid w:val="00D6348E"/>
    <w:rsid w:val="00D711C4"/>
    <w:rsid w:val="00D7792D"/>
    <w:rsid w:val="00D82139"/>
    <w:rsid w:val="00D91AE2"/>
    <w:rsid w:val="00D93F85"/>
    <w:rsid w:val="00D960F0"/>
    <w:rsid w:val="00DA443E"/>
    <w:rsid w:val="00DB0B91"/>
    <w:rsid w:val="00DC0A3E"/>
    <w:rsid w:val="00DC557D"/>
    <w:rsid w:val="00DC7CDC"/>
    <w:rsid w:val="00DD4A89"/>
    <w:rsid w:val="00DD61BE"/>
    <w:rsid w:val="00DE4175"/>
    <w:rsid w:val="00DE7FF8"/>
    <w:rsid w:val="00E12EA2"/>
    <w:rsid w:val="00E24C5A"/>
    <w:rsid w:val="00E273F2"/>
    <w:rsid w:val="00E312E0"/>
    <w:rsid w:val="00E34B11"/>
    <w:rsid w:val="00E402E1"/>
    <w:rsid w:val="00E442CF"/>
    <w:rsid w:val="00E50262"/>
    <w:rsid w:val="00E506EF"/>
    <w:rsid w:val="00E53F76"/>
    <w:rsid w:val="00E67F38"/>
    <w:rsid w:val="00E82B18"/>
    <w:rsid w:val="00E83994"/>
    <w:rsid w:val="00E96C61"/>
    <w:rsid w:val="00EA5347"/>
    <w:rsid w:val="00EB24C0"/>
    <w:rsid w:val="00EB30A8"/>
    <w:rsid w:val="00EB5872"/>
    <w:rsid w:val="00ED1FF1"/>
    <w:rsid w:val="00ED6E91"/>
    <w:rsid w:val="00EE418C"/>
    <w:rsid w:val="00EF5100"/>
    <w:rsid w:val="00F02DC3"/>
    <w:rsid w:val="00F05357"/>
    <w:rsid w:val="00F21AFD"/>
    <w:rsid w:val="00F36576"/>
    <w:rsid w:val="00F460D1"/>
    <w:rsid w:val="00F4620B"/>
    <w:rsid w:val="00F50744"/>
    <w:rsid w:val="00F54964"/>
    <w:rsid w:val="00F57DFB"/>
    <w:rsid w:val="00F6451F"/>
    <w:rsid w:val="00F65983"/>
    <w:rsid w:val="00F75A55"/>
    <w:rsid w:val="00F91BC4"/>
    <w:rsid w:val="00F93902"/>
    <w:rsid w:val="00FA489C"/>
    <w:rsid w:val="00FA64CA"/>
    <w:rsid w:val="00FA72A3"/>
    <w:rsid w:val="00FA776E"/>
    <w:rsid w:val="00FB009F"/>
    <w:rsid w:val="00FB20C3"/>
    <w:rsid w:val="00FB59FA"/>
    <w:rsid w:val="00FB7415"/>
    <w:rsid w:val="00FC2B36"/>
    <w:rsid w:val="00FC2BDC"/>
    <w:rsid w:val="00FD7932"/>
    <w:rsid w:val="00FE0A67"/>
    <w:rsid w:val="00FE1B6E"/>
    <w:rsid w:val="00FE4B9B"/>
    <w:rsid w:val="00FE771B"/>
    <w:rsid w:val="00FF738E"/>
  </w:rsids>
  <m:mathPr>
    <m:mathFont m:val="Cambria Math"/>
    <m:brkBin m:val="before"/>
    <m:brkBinSub m:val="--"/>
    <m:smallFrac m:val="off"/>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AB8"/>
  </w:style>
  <w:style w:type="paragraph" w:styleId="Heading2">
    <w:name w:val="heading 2"/>
    <w:basedOn w:val="Normal"/>
    <w:link w:val="Heading2Char"/>
    <w:uiPriority w:val="9"/>
    <w:qFormat/>
    <w:rsid w:val="009E4AB8"/>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9E4AB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4AB8"/>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semiHidden/>
    <w:rsid w:val="009E4AB8"/>
    <w:rPr>
      <w:rFonts w:asciiTheme="majorHAnsi" w:eastAsiaTheme="majorEastAsia" w:hAnsiTheme="majorHAnsi" w:cstheme="majorBidi"/>
      <w:b/>
      <w:bCs/>
      <w:color w:val="4F81BD" w:themeColor="accent1"/>
    </w:rPr>
  </w:style>
  <w:style w:type="paragraph" w:customStyle="1" w:styleId="Date1">
    <w:name w:val="Date1"/>
    <w:basedOn w:val="Normal"/>
    <w:rsid w:val="009E4AB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rmalWeb">
    <w:name w:val="Normal (Web)"/>
    <w:basedOn w:val="Normal"/>
    <w:uiPriority w:val="99"/>
    <w:unhideWhenUsed/>
    <w:rsid w:val="009E4AB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9E4AB8"/>
    <w:rPr>
      <w:b/>
      <w:bCs/>
    </w:rPr>
  </w:style>
  <w:style w:type="character" w:styleId="Hyperlink">
    <w:name w:val="Hyperlink"/>
    <w:basedOn w:val="DefaultParagraphFont"/>
    <w:uiPriority w:val="99"/>
    <w:unhideWhenUsed/>
    <w:rsid w:val="009E4AB8"/>
    <w:rPr>
      <w:color w:val="0000FF"/>
      <w:u w:val="single"/>
    </w:rPr>
  </w:style>
  <w:style w:type="character" w:customStyle="1" w:styleId="card-exposedtext">
    <w:name w:val="card-exposed__text"/>
    <w:basedOn w:val="DefaultParagraphFont"/>
    <w:rsid w:val="009E4AB8"/>
  </w:style>
  <w:style w:type="table" w:styleId="TableGrid">
    <w:name w:val="Table Grid"/>
    <w:basedOn w:val="TableNormal"/>
    <w:uiPriority w:val="59"/>
    <w:rsid w:val="009E4A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9E4AB8"/>
    <w:pPr>
      <w:spacing w:after="0" w:line="240" w:lineRule="auto"/>
      <w:jc w:val="center"/>
    </w:pPr>
    <w:rPr>
      <w:rFonts w:ascii="Times New Roman" w:eastAsia="Times New Roman" w:hAnsi="Times New Roman" w:cs="Times New Roman"/>
      <w:sz w:val="28"/>
      <w:szCs w:val="20"/>
      <w:lang w:val="en-US"/>
    </w:rPr>
  </w:style>
  <w:style w:type="character" w:customStyle="1" w:styleId="TitleChar">
    <w:name w:val="Title Char"/>
    <w:basedOn w:val="DefaultParagraphFont"/>
    <w:link w:val="Title"/>
    <w:rsid w:val="009E4AB8"/>
    <w:rPr>
      <w:rFonts w:ascii="Times New Roman" w:eastAsia="Times New Roman" w:hAnsi="Times New Roman" w:cs="Times New Roman"/>
      <w:sz w:val="28"/>
      <w:szCs w:val="20"/>
      <w:lang w:val="en-US"/>
    </w:rPr>
  </w:style>
  <w:style w:type="paragraph" w:styleId="BodyText">
    <w:name w:val="Body Text"/>
    <w:basedOn w:val="Normal"/>
    <w:link w:val="BodyTextChar"/>
    <w:rsid w:val="009E4AB8"/>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9E4AB8"/>
    <w:rPr>
      <w:rFonts w:ascii="Times New Roman" w:eastAsia="Times New Roman" w:hAnsi="Times New Roman" w:cs="Times New Roman"/>
      <w:sz w:val="24"/>
      <w:szCs w:val="20"/>
      <w:lang w:val="en-US"/>
    </w:rPr>
  </w:style>
  <w:style w:type="character" w:customStyle="1" w:styleId="adr">
    <w:name w:val="adr"/>
    <w:basedOn w:val="DefaultParagraphFont"/>
    <w:rsid w:val="009E4AB8"/>
  </w:style>
  <w:style w:type="character" w:customStyle="1" w:styleId="d-inline-block">
    <w:name w:val="d-inline-block"/>
    <w:basedOn w:val="DefaultParagraphFont"/>
    <w:rsid w:val="009E4AB8"/>
  </w:style>
  <w:style w:type="paragraph" w:styleId="HTMLAddress">
    <w:name w:val="HTML Address"/>
    <w:basedOn w:val="Normal"/>
    <w:link w:val="HTMLAddressChar"/>
    <w:uiPriority w:val="99"/>
    <w:semiHidden/>
    <w:unhideWhenUsed/>
    <w:rsid w:val="009E4AB8"/>
    <w:pPr>
      <w:spacing w:after="0" w:line="240" w:lineRule="auto"/>
    </w:pPr>
    <w:rPr>
      <w:rFonts w:ascii="Times New Roman" w:eastAsia="Times New Roman" w:hAnsi="Times New Roman" w:cs="Times New Roman"/>
      <w:i/>
      <w:iCs/>
      <w:sz w:val="24"/>
      <w:szCs w:val="24"/>
      <w:lang w:val="en-US"/>
    </w:rPr>
  </w:style>
  <w:style w:type="character" w:customStyle="1" w:styleId="HTMLAddressChar">
    <w:name w:val="HTML Address Char"/>
    <w:basedOn w:val="DefaultParagraphFont"/>
    <w:link w:val="HTMLAddress"/>
    <w:uiPriority w:val="99"/>
    <w:semiHidden/>
    <w:rsid w:val="009E4AB8"/>
    <w:rPr>
      <w:rFonts w:ascii="Times New Roman" w:eastAsia="Times New Roman" w:hAnsi="Times New Roman" w:cs="Times New Roman"/>
      <w:i/>
      <w:iCs/>
      <w:sz w:val="24"/>
      <w:szCs w:val="24"/>
      <w:lang w:val="en-US"/>
    </w:rPr>
  </w:style>
  <w:style w:type="paragraph" w:styleId="Header">
    <w:name w:val="header"/>
    <w:basedOn w:val="Normal"/>
    <w:link w:val="HeaderChar"/>
    <w:uiPriority w:val="99"/>
    <w:unhideWhenUsed/>
    <w:rsid w:val="009E4A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AB8"/>
  </w:style>
  <w:style w:type="paragraph" w:styleId="Footer">
    <w:name w:val="footer"/>
    <w:basedOn w:val="Normal"/>
    <w:link w:val="FooterChar"/>
    <w:uiPriority w:val="99"/>
    <w:unhideWhenUsed/>
    <w:rsid w:val="009E4A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AB8"/>
  </w:style>
  <w:style w:type="character" w:styleId="Emphasis">
    <w:name w:val="Emphasis"/>
    <w:basedOn w:val="DefaultParagraphFont"/>
    <w:uiPriority w:val="20"/>
    <w:qFormat/>
    <w:rsid w:val="009E4AB8"/>
    <w:rPr>
      <w:i/>
      <w:iCs/>
    </w:rPr>
  </w:style>
  <w:style w:type="paragraph" w:styleId="BalloonText">
    <w:name w:val="Balloon Text"/>
    <w:basedOn w:val="Normal"/>
    <w:link w:val="BalloonTextChar"/>
    <w:uiPriority w:val="99"/>
    <w:semiHidden/>
    <w:unhideWhenUsed/>
    <w:rsid w:val="009E4A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AB8"/>
    <w:rPr>
      <w:rFonts w:ascii="Tahoma" w:hAnsi="Tahoma" w:cs="Tahoma"/>
      <w:sz w:val="16"/>
      <w:szCs w:val="16"/>
    </w:rPr>
  </w:style>
  <w:style w:type="character" w:customStyle="1" w:styleId="hgkelc">
    <w:name w:val="hgkelc"/>
    <w:basedOn w:val="DefaultParagraphFont"/>
    <w:rsid w:val="009E4AB8"/>
  </w:style>
  <w:style w:type="paragraph" w:styleId="ListParagraph">
    <w:name w:val="List Paragraph"/>
    <w:basedOn w:val="Normal"/>
    <w:uiPriority w:val="34"/>
    <w:qFormat/>
    <w:rsid w:val="009E4AB8"/>
    <w:pPr>
      <w:ind w:left="720"/>
      <w:contextualSpacing/>
    </w:pPr>
  </w:style>
  <w:style w:type="character" w:customStyle="1" w:styleId="cite-bracket">
    <w:name w:val="cite-bracket"/>
    <w:basedOn w:val="DefaultParagraphFont"/>
    <w:rsid w:val="0006417B"/>
  </w:style>
  <w:style w:type="paragraph" w:customStyle="1" w:styleId="isselectedend">
    <w:name w:val="isselectedend"/>
    <w:basedOn w:val="Normal"/>
    <w:rsid w:val="00B37F80"/>
    <w:pPr>
      <w:spacing w:before="100" w:beforeAutospacing="1" w:after="100" w:afterAutospacing="1" w:line="240" w:lineRule="auto"/>
    </w:pPr>
    <w:rPr>
      <w:rFonts w:ascii="Times New Roman" w:eastAsia="Times New Roman" w:hAnsi="Times New Roman" w:cs="Times New Roman"/>
      <w:sz w:val="24"/>
      <w:szCs w:val="24"/>
      <w:lang w:eastAsia="en-IN" w:bidi="bn-IN"/>
    </w:rPr>
  </w:style>
  <w:style w:type="character" w:customStyle="1" w:styleId="text-token-text-primary">
    <w:name w:val="text-token-text-primary"/>
    <w:basedOn w:val="DefaultParagraphFont"/>
    <w:rsid w:val="00B37F80"/>
  </w:style>
</w:styles>
</file>

<file path=word/webSettings.xml><?xml version="1.0" encoding="utf-8"?>
<w:webSettings xmlns:r="http://schemas.openxmlformats.org/officeDocument/2006/relationships" xmlns:w="http://schemas.openxmlformats.org/wordprocessingml/2006/main">
  <w:divs>
    <w:div w:id="103615747">
      <w:bodyDiv w:val="1"/>
      <w:marLeft w:val="0"/>
      <w:marRight w:val="0"/>
      <w:marTop w:val="0"/>
      <w:marBottom w:val="0"/>
      <w:divBdr>
        <w:top w:val="none" w:sz="0" w:space="0" w:color="auto"/>
        <w:left w:val="none" w:sz="0" w:space="0" w:color="auto"/>
        <w:bottom w:val="none" w:sz="0" w:space="0" w:color="auto"/>
        <w:right w:val="none" w:sz="0" w:space="0" w:color="auto"/>
      </w:divBdr>
    </w:div>
    <w:div w:id="154076711">
      <w:bodyDiv w:val="1"/>
      <w:marLeft w:val="0"/>
      <w:marRight w:val="0"/>
      <w:marTop w:val="0"/>
      <w:marBottom w:val="0"/>
      <w:divBdr>
        <w:top w:val="none" w:sz="0" w:space="0" w:color="auto"/>
        <w:left w:val="none" w:sz="0" w:space="0" w:color="auto"/>
        <w:bottom w:val="none" w:sz="0" w:space="0" w:color="auto"/>
        <w:right w:val="none" w:sz="0" w:space="0" w:color="auto"/>
      </w:divBdr>
    </w:div>
    <w:div w:id="164633338">
      <w:bodyDiv w:val="1"/>
      <w:marLeft w:val="0"/>
      <w:marRight w:val="0"/>
      <w:marTop w:val="0"/>
      <w:marBottom w:val="0"/>
      <w:divBdr>
        <w:top w:val="none" w:sz="0" w:space="0" w:color="auto"/>
        <w:left w:val="none" w:sz="0" w:space="0" w:color="auto"/>
        <w:bottom w:val="none" w:sz="0" w:space="0" w:color="auto"/>
        <w:right w:val="none" w:sz="0" w:space="0" w:color="auto"/>
      </w:divBdr>
    </w:div>
    <w:div w:id="241835160">
      <w:bodyDiv w:val="1"/>
      <w:marLeft w:val="0"/>
      <w:marRight w:val="0"/>
      <w:marTop w:val="0"/>
      <w:marBottom w:val="0"/>
      <w:divBdr>
        <w:top w:val="none" w:sz="0" w:space="0" w:color="auto"/>
        <w:left w:val="none" w:sz="0" w:space="0" w:color="auto"/>
        <w:bottom w:val="none" w:sz="0" w:space="0" w:color="auto"/>
        <w:right w:val="none" w:sz="0" w:space="0" w:color="auto"/>
      </w:divBdr>
    </w:div>
    <w:div w:id="243272225">
      <w:bodyDiv w:val="1"/>
      <w:marLeft w:val="0"/>
      <w:marRight w:val="0"/>
      <w:marTop w:val="0"/>
      <w:marBottom w:val="0"/>
      <w:divBdr>
        <w:top w:val="none" w:sz="0" w:space="0" w:color="auto"/>
        <w:left w:val="none" w:sz="0" w:space="0" w:color="auto"/>
        <w:bottom w:val="none" w:sz="0" w:space="0" w:color="auto"/>
        <w:right w:val="none" w:sz="0" w:space="0" w:color="auto"/>
      </w:divBdr>
    </w:div>
    <w:div w:id="398136086">
      <w:bodyDiv w:val="1"/>
      <w:marLeft w:val="0"/>
      <w:marRight w:val="0"/>
      <w:marTop w:val="0"/>
      <w:marBottom w:val="0"/>
      <w:divBdr>
        <w:top w:val="none" w:sz="0" w:space="0" w:color="auto"/>
        <w:left w:val="none" w:sz="0" w:space="0" w:color="auto"/>
        <w:bottom w:val="none" w:sz="0" w:space="0" w:color="auto"/>
        <w:right w:val="none" w:sz="0" w:space="0" w:color="auto"/>
      </w:divBdr>
    </w:div>
    <w:div w:id="434643337">
      <w:bodyDiv w:val="1"/>
      <w:marLeft w:val="0"/>
      <w:marRight w:val="0"/>
      <w:marTop w:val="0"/>
      <w:marBottom w:val="0"/>
      <w:divBdr>
        <w:top w:val="none" w:sz="0" w:space="0" w:color="auto"/>
        <w:left w:val="none" w:sz="0" w:space="0" w:color="auto"/>
        <w:bottom w:val="none" w:sz="0" w:space="0" w:color="auto"/>
        <w:right w:val="none" w:sz="0" w:space="0" w:color="auto"/>
      </w:divBdr>
    </w:div>
    <w:div w:id="453182729">
      <w:bodyDiv w:val="1"/>
      <w:marLeft w:val="0"/>
      <w:marRight w:val="0"/>
      <w:marTop w:val="0"/>
      <w:marBottom w:val="0"/>
      <w:divBdr>
        <w:top w:val="none" w:sz="0" w:space="0" w:color="auto"/>
        <w:left w:val="none" w:sz="0" w:space="0" w:color="auto"/>
        <w:bottom w:val="none" w:sz="0" w:space="0" w:color="auto"/>
        <w:right w:val="none" w:sz="0" w:space="0" w:color="auto"/>
      </w:divBdr>
    </w:div>
    <w:div w:id="513223481">
      <w:bodyDiv w:val="1"/>
      <w:marLeft w:val="0"/>
      <w:marRight w:val="0"/>
      <w:marTop w:val="0"/>
      <w:marBottom w:val="0"/>
      <w:divBdr>
        <w:top w:val="none" w:sz="0" w:space="0" w:color="auto"/>
        <w:left w:val="none" w:sz="0" w:space="0" w:color="auto"/>
        <w:bottom w:val="none" w:sz="0" w:space="0" w:color="auto"/>
        <w:right w:val="none" w:sz="0" w:space="0" w:color="auto"/>
      </w:divBdr>
    </w:div>
    <w:div w:id="702438498">
      <w:bodyDiv w:val="1"/>
      <w:marLeft w:val="0"/>
      <w:marRight w:val="0"/>
      <w:marTop w:val="0"/>
      <w:marBottom w:val="0"/>
      <w:divBdr>
        <w:top w:val="none" w:sz="0" w:space="0" w:color="auto"/>
        <w:left w:val="none" w:sz="0" w:space="0" w:color="auto"/>
        <w:bottom w:val="none" w:sz="0" w:space="0" w:color="auto"/>
        <w:right w:val="none" w:sz="0" w:space="0" w:color="auto"/>
      </w:divBdr>
    </w:div>
    <w:div w:id="716583151">
      <w:bodyDiv w:val="1"/>
      <w:marLeft w:val="0"/>
      <w:marRight w:val="0"/>
      <w:marTop w:val="0"/>
      <w:marBottom w:val="0"/>
      <w:divBdr>
        <w:top w:val="none" w:sz="0" w:space="0" w:color="auto"/>
        <w:left w:val="none" w:sz="0" w:space="0" w:color="auto"/>
        <w:bottom w:val="none" w:sz="0" w:space="0" w:color="auto"/>
        <w:right w:val="none" w:sz="0" w:space="0" w:color="auto"/>
      </w:divBdr>
    </w:div>
    <w:div w:id="751777565">
      <w:bodyDiv w:val="1"/>
      <w:marLeft w:val="0"/>
      <w:marRight w:val="0"/>
      <w:marTop w:val="0"/>
      <w:marBottom w:val="0"/>
      <w:divBdr>
        <w:top w:val="none" w:sz="0" w:space="0" w:color="auto"/>
        <w:left w:val="none" w:sz="0" w:space="0" w:color="auto"/>
        <w:bottom w:val="none" w:sz="0" w:space="0" w:color="auto"/>
        <w:right w:val="none" w:sz="0" w:space="0" w:color="auto"/>
      </w:divBdr>
    </w:div>
    <w:div w:id="814293568">
      <w:bodyDiv w:val="1"/>
      <w:marLeft w:val="0"/>
      <w:marRight w:val="0"/>
      <w:marTop w:val="0"/>
      <w:marBottom w:val="0"/>
      <w:divBdr>
        <w:top w:val="none" w:sz="0" w:space="0" w:color="auto"/>
        <w:left w:val="none" w:sz="0" w:space="0" w:color="auto"/>
        <w:bottom w:val="none" w:sz="0" w:space="0" w:color="auto"/>
        <w:right w:val="none" w:sz="0" w:space="0" w:color="auto"/>
      </w:divBdr>
    </w:div>
    <w:div w:id="858129233">
      <w:bodyDiv w:val="1"/>
      <w:marLeft w:val="0"/>
      <w:marRight w:val="0"/>
      <w:marTop w:val="0"/>
      <w:marBottom w:val="0"/>
      <w:divBdr>
        <w:top w:val="none" w:sz="0" w:space="0" w:color="auto"/>
        <w:left w:val="none" w:sz="0" w:space="0" w:color="auto"/>
        <w:bottom w:val="none" w:sz="0" w:space="0" w:color="auto"/>
        <w:right w:val="none" w:sz="0" w:space="0" w:color="auto"/>
      </w:divBdr>
    </w:div>
    <w:div w:id="929044744">
      <w:bodyDiv w:val="1"/>
      <w:marLeft w:val="0"/>
      <w:marRight w:val="0"/>
      <w:marTop w:val="0"/>
      <w:marBottom w:val="0"/>
      <w:divBdr>
        <w:top w:val="none" w:sz="0" w:space="0" w:color="auto"/>
        <w:left w:val="none" w:sz="0" w:space="0" w:color="auto"/>
        <w:bottom w:val="none" w:sz="0" w:space="0" w:color="auto"/>
        <w:right w:val="none" w:sz="0" w:space="0" w:color="auto"/>
      </w:divBdr>
    </w:div>
    <w:div w:id="985821234">
      <w:bodyDiv w:val="1"/>
      <w:marLeft w:val="0"/>
      <w:marRight w:val="0"/>
      <w:marTop w:val="0"/>
      <w:marBottom w:val="0"/>
      <w:divBdr>
        <w:top w:val="none" w:sz="0" w:space="0" w:color="auto"/>
        <w:left w:val="none" w:sz="0" w:space="0" w:color="auto"/>
        <w:bottom w:val="none" w:sz="0" w:space="0" w:color="auto"/>
        <w:right w:val="none" w:sz="0" w:space="0" w:color="auto"/>
      </w:divBdr>
    </w:div>
    <w:div w:id="1053968650">
      <w:bodyDiv w:val="1"/>
      <w:marLeft w:val="0"/>
      <w:marRight w:val="0"/>
      <w:marTop w:val="0"/>
      <w:marBottom w:val="0"/>
      <w:divBdr>
        <w:top w:val="none" w:sz="0" w:space="0" w:color="auto"/>
        <w:left w:val="none" w:sz="0" w:space="0" w:color="auto"/>
        <w:bottom w:val="none" w:sz="0" w:space="0" w:color="auto"/>
        <w:right w:val="none" w:sz="0" w:space="0" w:color="auto"/>
      </w:divBdr>
    </w:div>
    <w:div w:id="1353217958">
      <w:bodyDiv w:val="1"/>
      <w:marLeft w:val="0"/>
      <w:marRight w:val="0"/>
      <w:marTop w:val="0"/>
      <w:marBottom w:val="0"/>
      <w:divBdr>
        <w:top w:val="none" w:sz="0" w:space="0" w:color="auto"/>
        <w:left w:val="none" w:sz="0" w:space="0" w:color="auto"/>
        <w:bottom w:val="none" w:sz="0" w:space="0" w:color="auto"/>
        <w:right w:val="none" w:sz="0" w:space="0" w:color="auto"/>
      </w:divBdr>
    </w:div>
    <w:div w:id="1439374063">
      <w:bodyDiv w:val="1"/>
      <w:marLeft w:val="0"/>
      <w:marRight w:val="0"/>
      <w:marTop w:val="0"/>
      <w:marBottom w:val="0"/>
      <w:divBdr>
        <w:top w:val="none" w:sz="0" w:space="0" w:color="auto"/>
        <w:left w:val="none" w:sz="0" w:space="0" w:color="auto"/>
        <w:bottom w:val="none" w:sz="0" w:space="0" w:color="auto"/>
        <w:right w:val="none" w:sz="0" w:space="0" w:color="auto"/>
      </w:divBdr>
    </w:div>
    <w:div w:id="1452675803">
      <w:bodyDiv w:val="1"/>
      <w:marLeft w:val="0"/>
      <w:marRight w:val="0"/>
      <w:marTop w:val="0"/>
      <w:marBottom w:val="0"/>
      <w:divBdr>
        <w:top w:val="none" w:sz="0" w:space="0" w:color="auto"/>
        <w:left w:val="none" w:sz="0" w:space="0" w:color="auto"/>
        <w:bottom w:val="none" w:sz="0" w:space="0" w:color="auto"/>
        <w:right w:val="none" w:sz="0" w:space="0" w:color="auto"/>
      </w:divBdr>
    </w:div>
    <w:div w:id="1461604213">
      <w:bodyDiv w:val="1"/>
      <w:marLeft w:val="0"/>
      <w:marRight w:val="0"/>
      <w:marTop w:val="0"/>
      <w:marBottom w:val="0"/>
      <w:divBdr>
        <w:top w:val="none" w:sz="0" w:space="0" w:color="auto"/>
        <w:left w:val="none" w:sz="0" w:space="0" w:color="auto"/>
        <w:bottom w:val="none" w:sz="0" w:space="0" w:color="auto"/>
        <w:right w:val="none" w:sz="0" w:space="0" w:color="auto"/>
      </w:divBdr>
    </w:div>
    <w:div w:id="1513646458">
      <w:bodyDiv w:val="1"/>
      <w:marLeft w:val="0"/>
      <w:marRight w:val="0"/>
      <w:marTop w:val="0"/>
      <w:marBottom w:val="0"/>
      <w:divBdr>
        <w:top w:val="none" w:sz="0" w:space="0" w:color="auto"/>
        <w:left w:val="none" w:sz="0" w:space="0" w:color="auto"/>
        <w:bottom w:val="none" w:sz="0" w:space="0" w:color="auto"/>
        <w:right w:val="none" w:sz="0" w:space="0" w:color="auto"/>
      </w:divBdr>
    </w:div>
    <w:div w:id="1654335673">
      <w:bodyDiv w:val="1"/>
      <w:marLeft w:val="0"/>
      <w:marRight w:val="0"/>
      <w:marTop w:val="0"/>
      <w:marBottom w:val="0"/>
      <w:divBdr>
        <w:top w:val="none" w:sz="0" w:space="0" w:color="auto"/>
        <w:left w:val="none" w:sz="0" w:space="0" w:color="auto"/>
        <w:bottom w:val="none" w:sz="0" w:space="0" w:color="auto"/>
        <w:right w:val="none" w:sz="0" w:space="0" w:color="auto"/>
      </w:divBdr>
    </w:div>
    <w:div w:id="1655715840">
      <w:bodyDiv w:val="1"/>
      <w:marLeft w:val="0"/>
      <w:marRight w:val="0"/>
      <w:marTop w:val="0"/>
      <w:marBottom w:val="0"/>
      <w:divBdr>
        <w:top w:val="none" w:sz="0" w:space="0" w:color="auto"/>
        <w:left w:val="none" w:sz="0" w:space="0" w:color="auto"/>
        <w:bottom w:val="none" w:sz="0" w:space="0" w:color="auto"/>
        <w:right w:val="none" w:sz="0" w:space="0" w:color="auto"/>
      </w:divBdr>
    </w:div>
    <w:div w:id="1685325290">
      <w:bodyDiv w:val="1"/>
      <w:marLeft w:val="0"/>
      <w:marRight w:val="0"/>
      <w:marTop w:val="0"/>
      <w:marBottom w:val="0"/>
      <w:divBdr>
        <w:top w:val="none" w:sz="0" w:space="0" w:color="auto"/>
        <w:left w:val="none" w:sz="0" w:space="0" w:color="auto"/>
        <w:bottom w:val="none" w:sz="0" w:space="0" w:color="auto"/>
        <w:right w:val="none" w:sz="0" w:space="0" w:color="auto"/>
      </w:divBdr>
    </w:div>
    <w:div w:id="1701082276">
      <w:bodyDiv w:val="1"/>
      <w:marLeft w:val="0"/>
      <w:marRight w:val="0"/>
      <w:marTop w:val="0"/>
      <w:marBottom w:val="0"/>
      <w:divBdr>
        <w:top w:val="none" w:sz="0" w:space="0" w:color="auto"/>
        <w:left w:val="none" w:sz="0" w:space="0" w:color="auto"/>
        <w:bottom w:val="none" w:sz="0" w:space="0" w:color="auto"/>
        <w:right w:val="none" w:sz="0" w:space="0" w:color="auto"/>
      </w:divBdr>
    </w:div>
    <w:div w:id="1725790235">
      <w:bodyDiv w:val="1"/>
      <w:marLeft w:val="0"/>
      <w:marRight w:val="0"/>
      <w:marTop w:val="0"/>
      <w:marBottom w:val="0"/>
      <w:divBdr>
        <w:top w:val="none" w:sz="0" w:space="0" w:color="auto"/>
        <w:left w:val="none" w:sz="0" w:space="0" w:color="auto"/>
        <w:bottom w:val="none" w:sz="0" w:space="0" w:color="auto"/>
        <w:right w:val="none" w:sz="0" w:space="0" w:color="auto"/>
      </w:divBdr>
    </w:div>
    <w:div w:id="1788624937">
      <w:bodyDiv w:val="1"/>
      <w:marLeft w:val="0"/>
      <w:marRight w:val="0"/>
      <w:marTop w:val="0"/>
      <w:marBottom w:val="0"/>
      <w:divBdr>
        <w:top w:val="none" w:sz="0" w:space="0" w:color="auto"/>
        <w:left w:val="none" w:sz="0" w:space="0" w:color="auto"/>
        <w:bottom w:val="none" w:sz="0" w:space="0" w:color="auto"/>
        <w:right w:val="none" w:sz="0" w:space="0" w:color="auto"/>
      </w:divBdr>
    </w:div>
    <w:div w:id="1940137630">
      <w:bodyDiv w:val="1"/>
      <w:marLeft w:val="0"/>
      <w:marRight w:val="0"/>
      <w:marTop w:val="0"/>
      <w:marBottom w:val="0"/>
      <w:divBdr>
        <w:top w:val="none" w:sz="0" w:space="0" w:color="auto"/>
        <w:left w:val="none" w:sz="0" w:space="0" w:color="auto"/>
        <w:bottom w:val="none" w:sz="0" w:space="0" w:color="auto"/>
        <w:right w:val="none" w:sz="0" w:space="0" w:color="auto"/>
      </w:divBdr>
    </w:div>
    <w:div w:id="2057897690">
      <w:bodyDiv w:val="1"/>
      <w:marLeft w:val="0"/>
      <w:marRight w:val="0"/>
      <w:marTop w:val="0"/>
      <w:marBottom w:val="0"/>
      <w:divBdr>
        <w:top w:val="none" w:sz="0" w:space="0" w:color="auto"/>
        <w:left w:val="none" w:sz="0" w:space="0" w:color="auto"/>
        <w:bottom w:val="none" w:sz="0" w:space="0" w:color="auto"/>
        <w:right w:val="none" w:sz="0" w:space="0" w:color="auto"/>
      </w:divBdr>
    </w:div>
    <w:div w:id="2059040129">
      <w:bodyDiv w:val="1"/>
      <w:marLeft w:val="0"/>
      <w:marRight w:val="0"/>
      <w:marTop w:val="0"/>
      <w:marBottom w:val="0"/>
      <w:divBdr>
        <w:top w:val="none" w:sz="0" w:space="0" w:color="auto"/>
        <w:left w:val="none" w:sz="0" w:space="0" w:color="auto"/>
        <w:bottom w:val="none" w:sz="0" w:space="0" w:color="auto"/>
        <w:right w:val="none" w:sz="0" w:space="0" w:color="auto"/>
      </w:divBdr>
    </w:div>
    <w:div w:id="213189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rk.karmakar\Desktop\July\5th%20Week_BENIN\TABLE%20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k.karmakar\Desktop\July\5th%20Week_BENIN\TABLE%20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Benin's Exports, Imports and BoT  2020-2024</a:t>
            </a:r>
          </a:p>
        </c:rich>
      </c:tx>
      <c:layout>
        <c:manualLayout>
          <c:xMode val="edge"/>
          <c:yMode val="edge"/>
          <c:x val="0.13316560782014925"/>
          <c:y val="6.9444604096020934E-2"/>
        </c:manualLayout>
      </c:layout>
      <c:spPr>
        <a:noFill/>
        <a:ln w="25400">
          <a:noFill/>
        </a:ln>
      </c:spPr>
    </c:title>
    <c:plotArea>
      <c:layout/>
      <c:barChart>
        <c:barDir val="col"/>
        <c:grouping val="clustered"/>
        <c:ser>
          <c:idx val="0"/>
          <c:order val="0"/>
          <c:tx>
            <c:strRef>
              <c:f>Sheet1!$B$6:$B$8</c:f>
              <c:strCache>
                <c:ptCount val="1"/>
                <c:pt idx="0">
                  <c:v>Exports</c:v>
                </c:pt>
              </c:strCache>
            </c:strRef>
          </c:tx>
          <c:spPr>
            <a:solidFill>
              <a:srgbClr val="4F81BD"/>
            </a:solidFill>
            <a:ln w="25400">
              <a:noFill/>
            </a:ln>
          </c:spPr>
          <c:cat>
            <c:numRef>
              <c:f>Sheet1!$A$9:$A$13</c:f>
              <c:numCache>
                <c:formatCode>General</c:formatCode>
                <c:ptCount val="5"/>
                <c:pt idx="0">
                  <c:v>2020</c:v>
                </c:pt>
                <c:pt idx="1">
                  <c:v>2021</c:v>
                </c:pt>
                <c:pt idx="2">
                  <c:v>2022</c:v>
                </c:pt>
                <c:pt idx="3">
                  <c:v>2023</c:v>
                </c:pt>
                <c:pt idx="4">
                  <c:v>2024</c:v>
                </c:pt>
              </c:numCache>
            </c:numRef>
          </c:cat>
          <c:val>
            <c:numRef>
              <c:f>Sheet1!$B$9:$B$13</c:f>
              <c:numCache>
                <c:formatCode>0</c:formatCode>
                <c:ptCount val="5"/>
                <c:pt idx="0">
                  <c:v>846</c:v>
                </c:pt>
                <c:pt idx="1">
                  <c:v>1026</c:v>
                </c:pt>
                <c:pt idx="2">
                  <c:v>899</c:v>
                </c:pt>
                <c:pt idx="3">
                  <c:v>1052</c:v>
                </c:pt>
                <c:pt idx="4">
                  <c:v>1113</c:v>
                </c:pt>
              </c:numCache>
            </c:numRef>
          </c:val>
        </c:ser>
        <c:ser>
          <c:idx val="1"/>
          <c:order val="1"/>
          <c:tx>
            <c:strRef>
              <c:f>Sheet1!$D$6:$D$8</c:f>
              <c:strCache>
                <c:ptCount val="1"/>
                <c:pt idx="0">
                  <c:v>Imports</c:v>
                </c:pt>
              </c:strCache>
            </c:strRef>
          </c:tx>
          <c:spPr>
            <a:solidFill>
              <a:srgbClr val="C0504D"/>
            </a:solidFill>
            <a:ln w="25400">
              <a:noFill/>
            </a:ln>
          </c:spPr>
          <c:cat>
            <c:numRef>
              <c:f>Sheet1!$A$9:$A$13</c:f>
              <c:numCache>
                <c:formatCode>General</c:formatCode>
                <c:ptCount val="5"/>
                <c:pt idx="0">
                  <c:v>2020</c:v>
                </c:pt>
                <c:pt idx="1">
                  <c:v>2021</c:v>
                </c:pt>
                <c:pt idx="2">
                  <c:v>2022</c:v>
                </c:pt>
                <c:pt idx="3">
                  <c:v>2023</c:v>
                </c:pt>
                <c:pt idx="4">
                  <c:v>2024</c:v>
                </c:pt>
              </c:numCache>
            </c:numRef>
          </c:cat>
          <c:val>
            <c:numRef>
              <c:f>Sheet1!$D$9:$D$13</c:f>
              <c:numCache>
                <c:formatCode>0</c:formatCode>
                <c:ptCount val="5"/>
                <c:pt idx="0">
                  <c:v>2654</c:v>
                </c:pt>
                <c:pt idx="1">
                  <c:v>3422</c:v>
                </c:pt>
                <c:pt idx="2">
                  <c:v>3846</c:v>
                </c:pt>
                <c:pt idx="3">
                  <c:v>3905</c:v>
                </c:pt>
                <c:pt idx="4">
                  <c:v>3367</c:v>
                </c:pt>
              </c:numCache>
            </c:numRef>
          </c:val>
        </c:ser>
        <c:ser>
          <c:idx val="2"/>
          <c:order val="2"/>
          <c:tx>
            <c:strRef>
              <c:f>Sheet1!$H$6:$H$8</c:f>
              <c:strCache>
                <c:ptCount val="1"/>
                <c:pt idx="0">
                  <c:v>Balance of Trade</c:v>
                </c:pt>
              </c:strCache>
            </c:strRef>
          </c:tx>
          <c:spPr>
            <a:solidFill>
              <a:srgbClr val="9BBB59"/>
            </a:solidFill>
            <a:ln w="25400">
              <a:noFill/>
            </a:ln>
          </c:spPr>
          <c:cat>
            <c:numRef>
              <c:f>Sheet1!$A$9:$A$13</c:f>
              <c:numCache>
                <c:formatCode>General</c:formatCode>
                <c:ptCount val="5"/>
                <c:pt idx="0">
                  <c:v>2020</c:v>
                </c:pt>
                <c:pt idx="1">
                  <c:v>2021</c:v>
                </c:pt>
                <c:pt idx="2">
                  <c:v>2022</c:v>
                </c:pt>
                <c:pt idx="3">
                  <c:v>2023</c:v>
                </c:pt>
                <c:pt idx="4">
                  <c:v>2024</c:v>
                </c:pt>
              </c:numCache>
            </c:numRef>
          </c:cat>
          <c:val>
            <c:numRef>
              <c:f>Sheet1!$H$9:$H$13</c:f>
              <c:numCache>
                <c:formatCode>General</c:formatCode>
                <c:ptCount val="5"/>
                <c:pt idx="0">
                  <c:v>-1808</c:v>
                </c:pt>
                <c:pt idx="1">
                  <c:v>-2396</c:v>
                </c:pt>
                <c:pt idx="2">
                  <c:v>-2947</c:v>
                </c:pt>
                <c:pt idx="3">
                  <c:v>-2853</c:v>
                </c:pt>
                <c:pt idx="4">
                  <c:v>-2254</c:v>
                </c:pt>
              </c:numCache>
            </c:numRef>
          </c:val>
        </c:ser>
        <c:gapWidth val="219"/>
        <c:overlap val="-27"/>
        <c:axId val="59369728"/>
        <c:axId val="27602944"/>
      </c:barChart>
      <c:catAx>
        <c:axId val="593697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602944"/>
        <c:crosses val="autoZero"/>
        <c:auto val="1"/>
        <c:lblAlgn val="ctr"/>
        <c:lblOffset val="100"/>
      </c:catAx>
      <c:valAx>
        <c:axId val="27602944"/>
        <c:scaling>
          <c:orientation val="minMax"/>
        </c:scaling>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USD Mln</a:t>
                </a:r>
              </a:p>
            </c:rich>
          </c:tx>
          <c:spPr>
            <a:noFill/>
            <a:ln w="25400">
              <a:noFill/>
            </a:ln>
          </c:spPr>
        </c:title>
        <c:numFmt formatCode="0" sourceLinked="1"/>
        <c:majorTickMark val="none"/>
        <c:tickLblPos val="nextTo"/>
        <c:spPr>
          <a:ln w="9525">
            <a:noFill/>
          </a:ln>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369728"/>
        <c:crosses val="autoZero"/>
        <c:crossBetween val="between"/>
      </c:valAx>
      <c:spPr>
        <a:noFill/>
        <a:ln w="25400">
          <a:noFill/>
        </a:ln>
      </c:spPr>
    </c:plotArea>
    <c:legend>
      <c:legendPos val="b"/>
      <c:spPr>
        <a:noFill/>
        <a:ln w="25400">
          <a:noFill/>
        </a:ln>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chart>
    <c:title>
      <c:tx>
        <c:rich>
          <a:bodyPr/>
          <a:lstStyle/>
          <a:p>
            <a:pPr>
              <a:defRPr sz="1000" b="1" i="0" u="none" strike="noStrike" baseline="0">
                <a:solidFill>
                  <a:srgbClr val="333333"/>
                </a:solidFill>
                <a:latin typeface="Times New Roman"/>
                <a:ea typeface="Times New Roman"/>
                <a:cs typeface="Times New Roman"/>
              </a:defRPr>
            </a:pPr>
            <a:r>
              <a:rPr lang="en-IN"/>
              <a:t>India's Exports, Imports BoT w.r.t. </a:t>
            </a:r>
            <a:r>
              <a:rPr lang="en-IN" baseline="0"/>
              <a:t> </a:t>
            </a:r>
            <a:r>
              <a:rPr lang="en-IN"/>
              <a:t>Benin 2020-21 to 2024-25</a:t>
            </a:r>
          </a:p>
        </c:rich>
      </c:tx>
      <c:layout>
        <c:manualLayout>
          <c:xMode val="edge"/>
          <c:yMode val="edge"/>
          <c:x val="0.26680676009001314"/>
          <c:y val="7.9398358033528765E-2"/>
        </c:manualLayout>
      </c:layout>
      <c:spPr>
        <a:noFill/>
        <a:ln w="25400">
          <a:noFill/>
        </a:ln>
      </c:spPr>
    </c:title>
    <c:plotArea>
      <c:layout>
        <c:manualLayout>
          <c:layoutTarget val="inner"/>
          <c:xMode val="edge"/>
          <c:yMode val="edge"/>
          <c:x val="0.20928551573766174"/>
          <c:y val="0.20573443171088793"/>
          <c:w val="0.74258881869020565"/>
          <c:h val="0.65618492128717265"/>
        </c:manualLayout>
      </c:layout>
      <c:barChart>
        <c:barDir val="col"/>
        <c:grouping val="clustered"/>
        <c:ser>
          <c:idx val="0"/>
          <c:order val="0"/>
          <c:tx>
            <c:strRef>
              <c:f>Sheet1!$B$5:$B$7</c:f>
              <c:strCache>
                <c:ptCount val="1"/>
                <c:pt idx="0">
                  <c:v> Exports  from India to Benin</c:v>
                </c:pt>
              </c:strCache>
            </c:strRef>
          </c:tx>
          <c:spPr>
            <a:solidFill>
              <a:srgbClr val="4F81BD"/>
            </a:solidFill>
            <a:ln w="25400">
              <a:noFill/>
            </a:ln>
          </c:spPr>
          <c:cat>
            <c:strRef>
              <c:f>Sheet1!$A$8:$A$12</c:f>
              <c:strCache>
                <c:ptCount val="5"/>
                <c:pt idx="0">
                  <c:v>2020-21</c:v>
                </c:pt>
                <c:pt idx="1">
                  <c:v>2021-22</c:v>
                </c:pt>
                <c:pt idx="2">
                  <c:v>2022-23</c:v>
                </c:pt>
                <c:pt idx="3">
                  <c:v>2023-24</c:v>
                </c:pt>
                <c:pt idx="4">
                  <c:v>2024-25</c:v>
                </c:pt>
              </c:strCache>
            </c:strRef>
          </c:cat>
          <c:val>
            <c:numRef>
              <c:f>Sheet1!$B$8:$B$12</c:f>
              <c:numCache>
                <c:formatCode>0.00</c:formatCode>
                <c:ptCount val="5"/>
                <c:pt idx="0">
                  <c:v>555.20000000000005</c:v>
                </c:pt>
                <c:pt idx="1">
                  <c:v>716.41</c:v>
                </c:pt>
                <c:pt idx="2">
                  <c:v>892.81</c:v>
                </c:pt>
                <c:pt idx="3">
                  <c:v>752.55</c:v>
                </c:pt>
                <c:pt idx="4">
                  <c:v>1194.98</c:v>
                </c:pt>
              </c:numCache>
            </c:numRef>
          </c:val>
        </c:ser>
        <c:ser>
          <c:idx val="1"/>
          <c:order val="1"/>
          <c:tx>
            <c:strRef>
              <c:f>Sheet1!$D$5:$D$7</c:f>
              <c:strCache>
                <c:ptCount val="1"/>
                <c:pt idx="0">
                  <c:v>Imports from Benin to India</c:v>
                </c:pt>
              </c:strCache>
            </c:strRef>
          </c:tx>
          <c:spPr>
            <a:solidFill>
              <a:srgbClr val="C0504D"/>
            </a:solidFill>
            <a:ln w="25400">
              <a:noFill/>
            </a:ln>
          </c:spPr>
          <c:cat>
            <c:strRef>
              <c:f>Sheet1!$A$8:$A$12</c:f>
              <c:strCache>
                <c:ptCount val="5"/>
                <c:pt idx="0">
                  <c:v>2020-21</c:v>
                </c:pt>
                <c:pt idx="1">
                  <c:v>2021-22</c:v>
                </c:pt>
                <c:pt idx="2">
                  <c:v>2022-23</c:v>
                </c:pt>
                <c:pt idx="3">
                  <c:v>2023-24</c:v>
                </c:pt>
                <c:pt idx="4">
                  <c:v>2024-25</c:v>
                </c:pt>
              </c:strCache>
            </c:strRef>
          </c:cat>
          <c:val>
            <c:numRef>
              <c:f>Sheet1!$D$8:$D$12</c:f>
              <c:numCache>
                <c:formatCode>0.00</c:formatCode>
                <c:ptCount val="5"/>
                <c:pt idx="0">
                  <c:v>325.97000000000003</c:v>
                </c:pt>
                <c:pt idx="1">
                  <c:v>402.12</c:v>
                </c:pt>
                <c:pt idx="2">
                  <c:v>452.58</c:v>
                </c:pt>
                <c:pt idx="3">
                  <c:v>214.57</c:v>
                </c:pt>
                <c:pt idx="4">
                  <c:v>130.51</c:v>
                </c:pt>
              </c:numCache>
            </c:numRef>
          </c:val>
        </c:ser>
        <c:ser>
          <c:idx val="2"/>
          <c:order val="2"/>
          <c:tx>
            <c:strRef>
              <c:f>Sheet1!$H$5:$H$7</c:f>
              <c:strCache>
                <c:ptCount val="1"/>
                <c:pt idx="0">
                  <c:v>Balance of Trade</c:v>
                </c:pt>
              </c:strCache>
            </c:strRef>
          </c:tx>
          <c:spPr>
            <a:solidFill>
              <a:srgbClr val="9BBB59"/>
            </a:solidFill>
            <a:ln w="25400">
              <a:noFill/>
            </a:ln>
          </c:spPr>
          <c:cat>
            <c:strRef>
              <c:f>Sheet1!$A$8:$A$12</c:f>
              <c:strCache>
                <c:ptCount val="5"/>
                <c:pt idx="0">
                  <c:v>2020-21</c:v>
                </c:pt>
                <c:pt idx="1">
                  <c:v>2021-22</c:v>
                </c:pt>
                <c:pt idx="2">
                  <c:v>2022-23</c:v>
                </c:pt>
                <c:pt idx="3">
                  <c:v>2023-24</c:v>
                </c:pt>
                <c:pt idx="4">
                  <c:v>2024-25</c:v>
                </c:pt>
              </c:strCache>
            </c:strRef>
          </c:cat>
          <c:val>
            <c:numRef>
              <c:f>Sheet1!$H$8:$H$12</c:f>
              <c:numCache>
                <c:formatCode>0.00</c:formatCode>
                <c:ptCount val="5"/>
                <c:pt idx="0">
                  <c:v>229.23000000000002</c:v>
                </c:pt>
                <c:pt idx="1">
                  <c:v>314.28999999999974</c:v>
                </c:pt>
                <c:pt idx="2">
                  <c:v>440.22999999999973</c:v>
                </c:pt>
                <c:pt idx="3">
                  <c:v>537.98</c:v>
                </c:pt>
                <c:pt idx="4">
                  <c:v>1064.47</c:v>
                </c:pt>
              </c:numCache>
            </c:numRef>
          </c:val>
        </c:ser>
        <c:gapWidth val="219"/>
        <c:overlap val="-27"/>
        <c:axId val="27645824"/>
        <c:axId val="27647360"/>
      </c:barChart>
      <c:catAx>
        <c:axId val="276458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0" vert="horz"/>
          <a:lstStyle/>
          <a:p>
            <a:pPr>
              <a:defRPr sz="900" b="1" i="0" u="none" strike="noStrike" baseline="0">
                <a:solidFill>
                  <a:srgbClr val="333333"/>
                </a:solidFill>
                <a:latin typeface="Times New Roman"/>
                <a:ea typeface="Times New Roman"/>
                <a:cs typeface="Times New Roman"/>
              </a:defRPr>
            </a:pPr>
            <a:endParaRPr lang="en-US"/>
          </a:p>
        </c:txPr>
        <c:crossAx val="27647360"/>
        <c:crosses val="autoZero"/>
        <c:auto val="1"/>
        <c:lblAlgn val="ctr"/>
        <c:lblOffset val="100"/>
      </c:catAx>
      <c:valAx>
        <c:axId val="27647360"/>
        <c:scaling>
          <c:orientation val="minMax"/>
        </c:scaling>
        <c:axPos val="l"/>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title>
          <c:tx>
            <c:rich>
              <a:bodyPr/>
              <a:lstStyle/>
              <a:p>
                <a:pPr>
                  <a:defRPr sz="1000" b="0" i="0" u="none" strike="noStrike" baseline="0">
                    <a:solidFill>
                      <a:srgbClr val="333333"/>
                    </a:solidFill>
                    <a:latin typeface="Times New Roman"/>
                    <a:ea typeface="Times New Roman"/>
                    <a:cs typeface="Times New Roman"/>
                  </a:defRPr>
                </a:pPr>
                <a:r>
                  <a:rPr lang="en-IN"/>
                  <a:t>INR Crores</a:t>
                </a:r>
              </a:p>
            </c:rich>
          </c:tx>
          <c:layout/>
          <c:spPr>
            <a:noFill/>
            <a:ln w="25400">
              <a:noFill/>
            </a:ln>
          </c:spPr>
        </c:title>
        <c:numFmt formatCode="0.00" sourceLinked="1"/>
        <c:majorTickMark val="none"/>
        <c:tickLblPos val="low"/>
        <c:spPr>
          <a:ln w="9525">
            <a:noFill/>
          </a:ln>
        </c:spPr>
        <c:txPr>
          <a:bodyPr rot="0" vert="horz"/>
          <a:lstStyle/>
          <a:p>
            <a:pPr>
              <a:defRPr sz="900" b="1" i="0" u="none" strike="noStrike" baseline="0">
                <a:solidFill>
                  <a:srgbClr val="333333"/>
                </a:solidFill>
                <a:latin typeface="Times New Roman"/>
                <a:ea typeface="Times New Roman"/>
                <a:cs typeface="Times New Roman"/>
              </a:defRPr>
            </a:pPr>
            <a:endParaRPr lang="en-US"/>
          </a:p>
        </c:txPr>
        <c:crossAx val="27645824"/>
        <c:crosses val="autoZero"/>
        <c:crossBetween val="between"/>
      </c:valAx>
      <c:spPr>
        <a:noFill/>
        <a:ln w="25400">
          <a:noFill/>
        </a:ln>
      </c:spPr>
    </c:plotArea>
    <c:legend>
      <c:legendPos val="b"/>
      <c:layout>
        <c:manualLayout>
          <c:xMode val="edge"/>
          <c:yMode val="edge"/>
          <c:x val="0.22849154156839774"/>
          <c:y val="0.93893121945615465"/>
          <c:w val="0.70545890163095659"/>
          <c:h val="6.1068780543846221E-2"/>
        </c:manualLayout>
      </c:layout>
      <c:spPr>
        <a:noFill/>
        <a:ln w="25400">
          <a:noFill/>
        </a:ln>
      </c:spPr>
      <c:txPr>
        <a:bodyPr/>
        <a:lstStyle/>
        <a:p>
          <a:pPr>
            <a:defRPr sz="755" b="0" i="0" u="none" strike="noStrike" baseline="0">
              <a:solidFill>
                <a:srgbClr val="333333"/>
              </a:solidFill>
              <a:latin typeface="Times New Roman"/>
              <a:ea typeface="Times New Roman"/>
              <a:cs typeface="Times New Roman"/>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946F6-FBBF-4AD5-BE66-9AD9E83BC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1742</TotalTime>
  <Pages>19</Pages>
  <Words>8953</Words>
  <Characters>51033</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rk.karmakar</dc:creator>
  <cp:lastModifiedBy>rk.karmakar</cp:lastModifiedBy>
  <cp:revision>1048</cp:revision>
  <dcterms:created xsi:type="dcterms:W3CDTF">2024-09-03T07:56:00Z</dcterms:created>
  <dcterms:modified xsi:type="dcterms:W3CDTF">2026-08-17T09:54:00Z</dcterms:modified>
</cp:coreProperties>
</file>