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4A622" w14:textId="77777777" w:rsidR="00A82FAC" w:rsidRDefault="00A82FAC" w:rsidP="00A82FAC">
      <w:pPr>
        <w:pStyle w:val="Heading2"/>
        <w:spacing w:before="0" w:beforeAutospacing="0" w:after="0" w:afterAutospacing="0"/>
        <w:ind w:left="288"/>
        <w:contextualSpacing/>
        <w:jc w:val="center"/>
        <w:rPr>
          <w:color w:val="7030A0"/>
          <w:sz w:val="24"/>
          <w:szCs w:val="24"/>
        </w:rPr>
      </w:pPr>
      <w:r>
        <w:rPr>
          <w:color w:val="7030A0"/>
          <w:sz w:val="24"/>
          <w:szCs w:val="24"/>
        </w:rPr>
        <w:t>COUNTRY PROFILE REPORT</w:t>
      </w:r>
    </w:p>
    <w:p w14:paraId="43B64729" w14:textId="31867897" w:rsidR="00A82FAC" w:rsidRDefault="00A82FAC" w:rsidP="00A82FAC">
      <w:pPr>
        <w:pStyle w:val="Heading2"/>
        <w:spacing w:before="0" w:beforeAutospacing="0" w:after="0" w:afterAutospacing="0"/>
        <w:ind w:left="288"/>
        <w:contextualSpacing/>
        <w:jc w:val="center"/>
        <w:rPr>
          <w:color w:val="7030A0"/>
          <w:sz w:val="24"/>
          <w:szCs w:val="24"/>
        </w:rPr>
      </w:pPr>
      <w:r w:rsidRPr="00450D59">
        <w:rPr>
          <w:color w:val="7030A0"/>
          <w:sz w:val="24"/>
          <w:szCs w:val="24"/>
        </w:rPr>
        <w:t>INDIA-</w:t>
      </w:r>
      <w:r>
        <w:rPr>
          <w:color w:val="7030A0"/>
          <w:sz w:val="24"/>
          <w:szCs w:val="24"/>
        </w:rPr>
        <w:t>MOZAMBIQUE</w:t>
      </w:r>
      <w:r w:rsidRPr="00450D59">
        <w:rPr>
          <w:color w:val="7030A0"/>
          <w:sz w:val="24"/>
          <w:szCs w:val="24"/>
        </w:rPr>
        <w:t xml:space="preserve"> BILATERAL TRADE RELATIONS</w:t>
      </w:r>
    </w:p>
    <w:p w14:paraId="42D4BD72" w14:textId="77777777" w:rsidR="00A82FAC" w:rsidRDefault="00A82FAC" w:rsidP="00A82FAC">
      <w:pPr>
        <w:pStyle w:val="Heading2"/>
        <w:spacing w:beforeAutospacing="0" w:after="0" w:afterAutospacing="0"/>
        <w:ind w:left="288"/>
        <w:contextualSpacing/>
        <w:jc w:val="center"/>
        <w:rPr>
          <w:color w:val="7030A0"/>
          <w:sz w:val="24"/>
          <w:szCs w:val="24"/>
        </w:rPr>
      </w:pPr>
      <w:r>
        <w:rPr>
          <w:color w:val="7030A0"/>
          <w:sz w:val="24"/>
          <w:szCs w:val="24"/>
        </w:rPr>
        <w:t>INDIAN TRADE JOURNAL (ITJ) DIVISION</w:t>
      </w:r>
    </w:p>
    <w:p w14:paraId="7674982D" w14:textId="77777777" w:rsidR="00A82FAC" w:rsidRDefault="00A82FAC" w:rsidP="00A82FAC">
      <w:pPr>
        <w:pStyle w:val="Heading2"/>
        <w:spacing w:before="0" w:beforeAutospacing="0" w:after="0" w:afterAutospacing="0"/>
        <w:jc w:val="center"/>
        <w:rPr>
          <w:color w:val="7030A0"/>
          <w:sz w:val="24"/>
          <w:szCs w:val="24"/>
        </w:rPr>
      </w:pPr>
      <w:r>
        <w:rPr>
          <w:color w:val="7030A0"/>
          <w:sz w:val="24"/>
          <w:szCs w:val="24"/>
        </w:rPr>
        <w:t>Directorate General of Commercial Intelligence &amp; Statistics (DGCI&amp;S), Kolkata</w:t>
      </w:r>
    </w:p>
    <w:p w14:paraId="14B882A5" w14:textId="56565F58" w:rsidR="00A80AE3" w:rsidRPr="00450D59" w:rsidRDefault="00A80AE3" w:rsidP="004C7732">
      <w:pPr>
        <w:pStyle w:val="Heading2"/>
        <w:spacing w:before="0" w:beforeAutospacing="0" w:after="0" w:afterAutospacing="0"/>
        <w:jc w:val="center"/>
        <w:rPr>
          <w:color w:val="7030A0"/>
          <w:sz w:val="24"/>
          <w:szCs w:val="24"/>
        </w:rPr>
      </w:pPr>
      <w:r w:rsidRPr="00450D59">
        <w:rPr>
          <w:color w:val="7030A0"/>
          <w:sz w:val="24"/>
          <w:szCs w:val="24"/>
        </w:rPr>
        <w:t xml:space="preserve"> </w:t>
      </w:r>
    </w:p>
    <w:p w14:paraId="4DDBB9ED" w14:textId="77777777" w:rsidR="004C7732" w:rsidRDefault="004C7732" w:rsidP="00D767EF">
      <w:pPr>
        <w:spacing w:before="100" w:beforeAutospacing="1" w:after="100" w:afterAutospacing="1" w:line="240" w:lineRule="auto"/>
        <w:rPr>
          <w:rFonts w:ascii="Times New Roman" w:hAnsi="Times New Roman" w:cs="Times New Roman"/>
          <w:b/>
          <w:color w:val="00B050"/>
          <w:sz w:val="24"/>
          <w:szCs w:val="24"/>
        </w:rPr>
      </w:pPr>
      <w:r w:rsidRPr="003871B3">
        <w:rPr>
          <w:rFonts w:ascii="Times New Roman" w:hAnsi="Times New Roman" w:cs="Times New Roman"/>
          <w:b/>
          <w:color w:val="00B050"/>
          <w:sz w:val="24"/>
          <w:szCs w:val="24"/>
        </w:rPr>
        <w:t>INTRODUCTION</w:t>
      </w:r>
      <w:r w:rsidR="00BC6D59">
        <w:rPr>
          <w:rFonts w:ascii="Times New Roman" w:hAnsi="Times New Roman" w:cs="Times New Roman"/>
          <w:b/>
          <w:color w:val="00B050"/>
          <w:sz w:val="24"/>
          <w:szCs w:val="24"/>
        </w:rPr>
        <w:t xml:space="preserve"> </w:t>
      </w:r>
      <w:r w:rsidRPr="003871B3">
        <w:rPr>
          <w:rFonts w:ascii="Times New Roman" w:hAnsi="Times New Roman" w:cs="Times New Roman"/>
          <w:b/>
          <w:color w:val="00B050"/>
          <w:sz w:val="24"/>
          <w:szCs w:val="24"/>
        </w:rPr>
        <w:t xml:space="preserve">&amp; </w:t>
      </w:r>
      <w:r w:rsidR="003871B3" w:rsidRPr="003871B3">
        <w:rPr>
          <w:rFonts w:ascii="Times New Roman" w:hAnsi="Times New Roman" w:cs="Times New Roman"/>
          <w:b/>
          <w:color w:val="00B050"/>
          <w:sz w:val="24"/>
          <w:szCs w:val="24"/>
        </w:rPr>
        <w:t>BRIEF</w:t>
      </w:r>
      <w:r w:rsidRPr="003871B3">
        <w:rPr>
          <w:rFonts w:ascii="Times New Roman" w:hAnsi="Times New Roman" w:cs="Times New Roman"/>
          <w:b/>
          <w:color w:val="00B050"/>
          <w:sz w:val="24"/>
          <w:szCs w:val="24"/>
        </w:rPr>
        <w:t xml:space="preserve"> ECONOMIC </w:t>
      </w:r>
      <w:r w:rsidR="00F70E35">
        <w:rPr>
          <w:rFonts w:ascii="Times New Roman" w:hAnsi="Times New Roman" w:cs="Times New Roman"/>
          <w:b/>
          <w:color w:val="00B050"/>
          <w:sz w:val="24"/>
          <w:szCs w:val="24"/>
        </w:rPr>
        <w:t>OVERVIEW</w:t>
      </w:r>
    </w:p>
    <w:p w14:paraId="0178A36D" w14:textId="1D21D6B3" w:rsidR="00BC6D59" w:rsidRPr="00E41504" w:rsidRDefault="00012E6A" w:rsidP="00E41504">
      <w:pPr>
        <w:spacing w:before="100" w:beforeAutospacing="1" w:after="100" w:afterAutospacing="1"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41504" w:rsidRPr="00E41504">
        <w:rPr>
          <w:rFonts w:ascii="Times New Roman" w:hAnsi="Times New Roman" w:cs="Times New Roman"/>
          <w:sz w:val="24"/>
          <w:szCs w:val="24"/>
        </w:rPr>
        <w:t xml:space="preserve">Mozambique is a </w:t>
      </w:r>
      <w:r w:rsidR="00F363B4" w:rsidRPr="00E41504">
        <w:rPr>
          <w:rFonts w:ascii="Times New Roman" w:hAnsi="Times New Roman" w:cs="Times New Roman"/>
          <w:sz w:val="24"/>
          <w:szCs w:val="24"/>
        </w:rPr>
        <w:t>south-eastern</w:t>
      </w:r>
      <w:r w:rsidR="00E41504" w:rsidRPr="00E41504">
        <w:rPr>
          <w:rFonts w:ascii="Times New Roman" w:hAnsi="Times New Roman" w:cs="Times New Roman"/>
          <w:sz w:val="24"/>
          <w:szCs w:val="24"/>
        </w:rPr>
        <w:t xml:space="preserve"> African country located along the Indian Ocean and bordered by</w:t>
      </w:r>
      <w:r w:rsidR="00D059B2">
        <w:rPr>
          <w:rFonts w:ascii="Times New Roman" w:hAnsi="Times New Roman" w:cs="Times New Roman"/>
          <w:sz w:val="24"/>
          <w:szCs w:val="24"/>
        </w:rPr>
        <w:t xml:space="preserve"> </w:t>
      </w:r>
      <w:r w:rsidR="00E41504" w:rsidRPr="00E41504">
        <w:rPr>
          <w:rFonts w:ascii="Times New Roman" w:hAnsi="Times New Roman" w:cs="Times New Roman"/>
          <w:sz w:val="24"/>
          <w:szCs w:val="24"/>
        </w:rPr>
        <w:t>Tanzania to the north, Malawi and Zambia to the northwest, Zimbabwe to the west, and South Africa and Eswatini to the southwest. The country is endowed with abundant natural resources, including natural gas, coal, graphite, rubies, and fertile agricultural land. Agriculture remains a major source of employment, while the mining and energy sectors have emerged as key drivers of economic growth.</w:t>
      </w:r>
    </w:p>
    <w:p w14:paraId="72A14150" w14:textId="77777777" w:rsidR="00D767EF" w:rsidRDefault="001A0740" w:rsidP="00D767EF">
      <w:pPr>
        <w:pStyle w:val="NormalWeb"/>
        <w:ind w:left="142"/>
        <w:jc w:val="both"/>
      </w:pPr>
      <w:r w:rsidRPr="00E41504">
        <w:t xml:space="preserve">2.    </w:t>
      </w:r>
      <w:r w:rsidR="00E41504" w:rsidRPr="00E41504">
        <w:t>Mozambique's economy has gradually recovered from the pandemic-induced slowdown, supported by improved agricultural production, stronger services activity, and increasing investment in large-scale liquefied natural gas (LNG) projects. Real GDP growth is projected to strengthen over the medium term, driven primarily by the expansion of the extractive sector. Inflation has moderated from its 2022 peak, while nominal GDP, per capita income, and investment are expected to increase steadily through 2030. Overall, Mozambique's medium-term economic outlook remains favourable, underpinned by natural resource development, infrastructure investment, and continued macroeconomic reforms aimed at promoting sustainable and inclusive economic growth.</w:t>
      </w:r>
    </w:p>
    <w:p w14:paraId="178E1B43" w14:textId="2F372C0A" w:rsidR="000B26AB" w:rsidRPr="00DA4688" w:rsidRDefault="000B26AB" w:rsidP="00D767EF">
      <w:pPr>
        <w:pStyle w:val="NormalWeb"/>
        <w:ind w:left="142"/>
        <w:jc w:val="both"/>
      </w:pPr>
      <w:r w:rsidRPr="00450D59">
        <w:rPr>
          <w:b/>
          <w:bCs/>
          <w:color w:val="984806" w:themeColor="accent6" w:themeShade="80"/>
        </w:rPr>
        <w:t xml:space="preserve">A snapshot of </w:t>
      </w:r>
      <w:r w:rsidR="00E21D32">
        <w:rPr>
          <w:b/>
          <w:bCs/>
          <w:color w:val="984806" w:themeColor="accent6" w:themeShade="80"/>
        </w:rPr>
        <w:t>Mozambique</w:t>
      </w:r>
      <w:r w:rsidRPr="00450D59">
        <w:rPr>
          <w:b/>
          <w:bCs/>
          <w:color w:val="984806" w:themeColor="accent6" w:themeShade="80"/>
        </w:rPr>
        <w:t>’s select economic indicators is as under.</w:t>
      </w:r>
    </w:p>
    <w:p w14:paraId="23AD4721" w14:textId="77777777" w:rsidR="00780F8F" w:rsidRPr="00845875" w:rsidRDefault="00780F8F" w:rsidP="00780F8F">
      <w:pPr>
        <w:pStyle w:val="NormalWeb"/>
        <w:ind w:left="142"/>
        <w:jc w:val="center"/>
        <w:rPr>
          <w:b/>
          <w:bCs/>
          <w:color w:val="31849B" w:themeColor="accent5" w:themeShade="BF"/>
        </w:rPr>
      </w:pPr>
      <w:r w:rsidRPr="00845875">
        <w:rPr>
          <w:b/>
          <w:bCs/>
          <w:color w:val="31849B" w:themeColor="accent5" w:themeShade="BF"/>
        </w:rPr>
        <w:t>TABLE - 1</w:t>
      </w:r>
    </w:p>
    <w:tbl>
      <w:tblPr>
        <w:tblW w:w="11243" w:type="dxa"/>
        <w:tblInd w:w="108" w:type="dxa"/>
        <w:tblLook w:val="04A0" w:firstRow="1" w:lastRow="0" w:firstColumn="1" w:lastColumn="0" w:noHBand="0" w:noVBand="1"/>
      </w:tblPr>
      <w:tblGrid>
        <w:gridCol w:w="3402"/>
        <w:gridCol w:w="717"/>
        <w:gridCol w:w="717"/>
        <w:gridCol w:w="717"/>
        <w:gridCol w:w="717"/>
        <w:gridCol w:w="717"/>
        <w:gridCol w:w="717"/>
        <w:gridCol w:w="717"/>
        <w:gridCol w:w="717"/>
        <w:gridCol w:w="717"/>
        <w:gridCol w:w="717"/>
        <w:gridCol w:w="671"/>
      </w:tblGrid>
      <w:tr w:rsidR="00D47C54" w:rsidRPr="00D47C54" w14:paraId="7AAAFDCF" w14:textId="77777777" w:rsidTr="00D767EF">
        <w:trPr>
          <w:trHeight w:val="70"/>
        </w:trPr>
        <w:tc>
          <w:tcPr>
            <w:tcW w:w="11243" w:type="dxa"/>
            <w:gridSpan w:val="12"/>
            <w:tcBorders>
              <w:top w:val="single" w:sz="4" w:space="0" w:color="auto"/>
              <w:left w:val="single" w:sz="4" w:space="0" w:color="auto"/>
              <w:bottom w:val="single" w:sz="4" w:space="0" w:color="000000"/>
              <w:right w:val="single" w:sz="4" w:space="0" w:color="auto"/>
            </w:tcBorders>
            <w:shd w:val="clear" w:color="000000" w:fill="4F81BD"/>
            <w:noWrap/>
            <w:vAlign w:val="center"/>
            <w:hideMark/>
          </w:tcPr>
          <w:p w14:paraId="498E7F00" w14:textId="77777777" w:rsidR="00D47C54" w:rsidRPr="0002513C" w:rsidRDefault="00D47C54" w:rsidP="00D47C54">
            <w:pPr>
              <w:spacing w:after="0" w:line="240" w:lineRule="auto"/>
              <w:jc w:val="center"/>
              <w:rPr>
                <w:rFonts w:ascii="Times New Roman" w:eastAsia="Times New Roman" w:hAnsi="Times New Roman" w:cs="Times New Roman"/>
                <w:color w:val="000000"/>
                <w:sz w:val="32"/>
                <w:szCs w:val="32"/>
                <w:lang w:eastAsia="en-IN" w:bidi="bn-IN"/>
              </w:rPr>
            </w:pPr>
            <w:r w:rsidRPr="0002513C">
              <w:rPr>
                <w:rFonts w:ascii="Times New Roman" w:eastAsia="Times New Roman" w:hAnsi="Times New Roman" w:cs="Times New Roman"/>
                <w:b/>
                <w:bCs/>
                <w:color w:val="FFFFFF"/>
                <w:sz w:val="32"/>
                <w:szCs w:val="32"/>
                <w:lang w:eastAsia="en-IN" w:bidi="bn-IN"/>
              </w:rPr>
              <w:t>Mozambique: Selected Economic and Financial Indicators, 2020–30</w:t>
            </w:r>
          </w:p>
        </w:tc>
      </w:tr>
      <w:tr w:rsidR="00006424" w:rsidRPr="00D47C54" w14:paraId="4D02C3D0" w14:textId="77777777" w:rsidTr="00D767EF">
        <w:trPr>
          <w:trHeight w:val="300"/>
        </w:trPr>
        <w:tc>
          <w:tcPr>
            <w:tcW w:w="3402" w:type="dxa"/>
            <w:vMerge w:val="restart"/>
            <w:tcBorders>
              <w:top w:val="nil"/>
              <w:left w:val="single" w:sz="4" w:space="0" w:color="auto"/>
              <w:right w:val="single" w:sz="4" w:space="0" w:color="000000"/>
            </w:tcBorders>
            <w:shd w:val="clear" w:color="1F497D" w:fill="1F497D"/>
            <w:noWrap/>
            <w:vAlign w:val="center"/>
            <w:hideMark/>
          </w:tcPr>
          <w:p w14:paraId="0CD7F419" w14:textId="77777777" w:rsidR="00006424" w:rsidRPr="0002513C" w:rsidRDefault="00006424" w:rsidP="00006424">
            <w:pPr>
              <w:spacing w:after="0" w:line="240" w:lineRule="auto"/>
              <w:jc w:val="center"/>
              <w:rPr>
                <w:rFonts w:ascii="Times New Roman" w:eastAsia="Times New Roman" w:hAnsi="Times New Roman" w:cs="Times New Roman"/>
                <w:b/>
                <w:bCs/>
                <w:color w:val="FFFFFF"/>
                <w:sz w:val="20"/>
                <w:szCs w:val="20"/>
                <w:lang w:eastAsia="en-IN" w:bidi="bn-IN"/>
              </w:rPr>
            </w:pPr>
            <w:r w:rsidRPr="0002513C">
              <w:rPr>
                <w:rFonts w:ascii="Times New Roman" w:eastAsia="Times New Roman" w:hAnsi="Times New Roman" w:cs="Times New Roman"/>
                <w:b/>
                <w:bCs/>
                <w:color w:val="FFFFFF"/>
                <w:sz w:val="20"/>
                <w:szCs w:val="20"/>
                <w:lang w:eastAsia="en-IN" w:bidi="bn-IN"/>
              </w:rPr>
              <w:t>Economic Indicator</w:t>
            </w:r>
          </w:p>
          <w:p w14:paraId="53BC2D56" w14:textId="77777777" w:rsidR="00006424" w:rsidRPr="0002513C" w:rsidRDefault="00006424" w:rsidP="00006424">
            <w:pPr>
              <w:spacing w:after="0" w:line="240" w:lineRule="auto"/>
              <w:jc w:val="center"/>
              <w:rPr>
                <w:rFonts w:ascii="Times New Roman" w:eastAsia="Times New Roman" w:hAnsi="Times New Roman" w:cs="Times New Roman"/>
                <w:b/>
                <w:bCs/>
                <w:color w:val="FFFFFF"/>
                <w:sz w:val="20"/>
                <w:szCs w:val="20"/>
                <w:lang w:eastAsia="en-IN" w:bidi="bn-IN"/>
              </w:rPr>
            </w:pPr>
          </w:p>
        </w:tc>
        <w:tc>
          <w:tcPr>
            <w:tcW w:w="717" w:type="dxa"/>
            <w:tcBorders>
              <w:top w:val="nil"/>
              <w:left w:val="nil"/>
              <w:bottom w:val="single" w:sz="4" w:space="0" w:color="000000"/>
              <w:right w:val="single" w:sz="4" w:space="0" w:color="000000"/>
            </w:tcBorders>
            <w:shd w:val="clear" w:color="1F497D" w:fill="1F497D"/>
            <w:noWrap/>
            <w:vAlign w:val="center"/>
            <w:hideMark/>
          </w:tcPr>
          <w:p w14:paraId="7524164E" w14:textId="77777777" w:rsidR="00006424" w:rsidRPr="0002513C" w:rsidRDefault="00006424" w:rsidP="00D47C54">
            <w:pPr>
              <w:spacing w:after="0" w:line="240" w:lineRule="auto"/>
              <w:rPr>
                <w:rFonts w:ascii="Times New Roman" w:eastAsia="Times New Roman" w:hAnsi="Times New Roman" w:cs="Times New Roman"/>
                <w:b/>
                <w:bCs/>
                <w:color w:val="FFFFFF"/>
                <w:sz w:val="20"/>
                <w:szCs w:val="20"/>
                <w:lang w:eastAsia="en-IN" w:bidi="bn-IN"/>
              </w:rPr>
            </w:pPr>
            <w:r w:rsidRPr="0002513C">
              <w:rPr>
                <w:rFonts w:ascii="Times New Roman" w:eastAsia="Times New Roman" w:hAnsi="Times New Roman" w:cs="Times New Roman"/>
                <w:b/>
                <w:bCs/>
                <w:color w:val="FFFFFF"/>
                <w:sz w:val="20"/>
                <w:szCs w:val="20"/>
                <w:lang w:eastAsia="en-IN" w:bidi="bn-IN"/>
              </w:rPr>
              <w:t>2020</w:t>
            </w:r>
          </w:p>
        </w:tc>
        <w:tc>
          <w:tcPr>
            <w:tcW w:w="717" w:type="dxa"/>
            <w:tcBorders>
              <w:top w:val="nil"/>
              <w:left w:val="nil"/>
              <w:bottom w:val="single" w:sz="4" w:space="0" w:color="000000"/>
              <w:right w:val="single" w:sz="4" w:space="0" w:color="000000"/>
            </w:tcBorders>
            <w:shd w:val="clear" w:color="1F497D" w:fill="1F497D"/>
            <w:noWrap/>
            <w:vAlign w:val="center"/>
            <w:hideMark/>
          </w:tcPr>
          <w:p w14:paraId="047894EB" w14:textId="77777777" w:rsidR="00006424" w:rsidRPr="0002513C" w:rsidRDefault="00006424" w:rsidP="00D47C54">
            <w:pPr>
              <w:spacing w:after="0" w:line="240" w:lineRule="auto"/>
              <w:rPr>
                <w:rFonts w:ascii="Times New Roman" w:eastAsia="Times New Roman" w:hAnsi="Times New Roman" w:cs="Times New Roman"/>
                <w:b/>
                <w:bCs/>
                <w:color w:val="FFFFFF"/>
                <w:sz w:val="20"/>
                <w:szCs w:val="20"/>
                <w:lang w:eastAsia="en-IN" w:bidi="bn-IN"/>
              </w:rPr>
            </w:pPr>
            <w:r w:rsidRPr="0002513C">
              <w:rPr>
                <w:rFonts w:ascii="Times New Roman" w:eastAsia="Times New Roman" w:hAnsi="Times New Roman" w:cs="Times New Roman"/>
                <w:b/>
                <w:bCs/>
                <w:color w:val="FFFFFF"/>
                <w:sz w:val="20"/>
                <w:szCs w:val="20"/>
                <w:lang w:eastAsia="en-IN" w:bidi="bn-IN"/>
              </w:rPr>
              <w:t>2021</w:t>
            </w:r>
          </w:p>
        </w:tc>
        <w:tc>
          <w:tcPr>
            <w:tcW w:w="717" w:type="dxa"/>
            <w:tcBorders>
              <w:top w:val="nil"/>
              <w:left w:val="nil"/>
              <w:bottom w:val="single" w:sz="4" w:space="0" w:color="000000"/>
              <w:right w:val="single" w:sz="4" w:space="0" w:color="000000"/>
            </w:tcBorders>
            <w:shd w:val="clear" w:color="1F497D" w:fill="1F497D"/>
            <w:noWrap/>
            <w:vAlign w:val="center"/>
            <w:hideMark/>
          </w:tcPr>
          <w:p w14:paraId="20F5A21C" w14:textId="77777777" w:rsidR="00006424" w:rsidRPr="0002513C" w:rsidRDefault="00006424" w:rsidP="00D47C54">
            <w:pPr>
              <w:spacing w:after="0" w:line="240" w:lineRule="auto"/>
              <w:rPr>
                <w:rFonts w:ascii="Times New Roman" w:eastAsia="Times New Roman" w:hAnsi="Times New Roman" w:cs="Times New Roman"/>
                <w:b/>
                <w:bCs/>
                <w:color w:val="FFFFFF"/>
                <w:sz w:val="20"/>
                <w:szCs w:val="20"/>
                <w:lang w:eastAsia="en-IN" w:bidi="bn-IN"/>
              </w:rPr>
            </w:pPr>
            <w:r w:rsidRPr="0002513C">
              <w:rPr>
                <w:rFonts w:ascii="Times New Roman" w:eastAsia="Times New Roman" w:hAnsi="Times New Roman" w:cs="Times New Roman"/>
                <w:b/>
                <w:bCs/>
                <w:color w:val="FFFFFF"/>
                <w:sz w:val="20"/>
                <w:szCs w:val="20"/>
                <w:lang w:eastAsia="en-IN" w:bidi="bn-IN"/>
              </w:rPr>
              <w:t>2022</w:t>
            </w:r>
          </w:p>
        </w:tc>
        <w:tc>
          <w:tcPr>
            <w:tcW w:w="717" w:type="dxa"/>
            <w:tcBorders>
              <w:top w:val="nil"/>
              <w:left w:val="nil"/>
              <w:bottom w:val="single" w:sz="4" w:space="0" w:color="000000"/>
              <w:right w:val="single" w:sz="4" w:space="0" w:color="000000"/>
            </w:tcBorders>
            <w:shd w:val="clear" w:color="1F497D" w:fill="1F497D"/>
            <w:noWrap/>
            <w:vAlign w:val="center"/>
            <w:hideMark/>
          </w:tcPr>
          <w:p w14:paraId="0A58E27E" w14:textId="77777777" w:rsidR="00006424" w:rsidRPr="0002513C" w:rsidRDefault="00006424" w:rsidP="00D47C54">
            <w:pPr>
              <w:spacing w:after="0" w:line="240" w:lineRule="auto"/>
              <w:rPr>
                <w:rFonts w:ascii="Times New Roman" w:eastAsia="Times New Roman" w:hAnsi="Times New Roman" w:cs="Times New Roman"/>
                <w:b/>
                <w:bCs/>
                <w:color w:val="FFFFFF"/>
                <w:sz w:val="20"/>
                <w:szCs w:val="20"/>
                <w:lang w:eastAsia="en-IN" w:bidi="bn-IN"/>
              </w:rPr>
            </w:pPr>
            <w:r w:rsidRPr="0002513C">
              <w:rPr>
                <w:rFonts w:ascii="Times New Roman" w:eastAsia="Times New Roman" w:hAnsi="Times New Roman" w:cs="Times New Roman"/>
                <w:b/>
                <w:bCs/>
                <w:color w:val="FFFFFF"/>
                <w:sz w:val="20"/>
                <w:szCs w:val="20"/>
                <w:lang w:eastAsia="en-IN" w:bidi="bn-IN"/>
              </w:rPr>
              <w:t>2023</w:t>
            </w:r>
          </w:p>
        </w:tc>
        <w:tc>
          <w:tcPr>
            <w:tcW w:w="717" w:type="dxa"/>
            <w:tcBorders>
              <w:top w:val="nil"/>
              <w:left w:val="nil"/>
              <w:bottom w:val="single" w:sz="4" w:space="0" w:color="000000"/>
              <w:right w:val="single" w:sz="4" w:space="0" w:color="000000"/>
            </w:tcBorders>
            <w:shd w:val="clear" w:color="1F497D" w:fill="1F497D"/>
            <w:noWrap/>
            <w:vAlign w:val="center"/>
            <w:hideMark/>
          </w:tcPr>
          <w:p w14:paraId="0EF5B8D8" w14:textId="77777777" w:rsidR="00006424" w:rsidRPr="0002513C" w:rsidRDefault="00006424" w:rsidP="00D47C54">
            <w:pPr>
              <w:spacing w:after="0" w:line="240" w:lineRule="auto"/>
              <w:rPr>
                <w:rFonts w:ascii="Times New Roman" w:eastAsia="Times New Roman" w:hAnsi="Times New Roman" w:cs="Times New Roman"/>
                <w:b/>
                <w:bCs/>
                <w:color w:val="FFFFFF"/>
                <w:sz w:val="20"/>
                <w:szCs w:val="20"/>
                <w:lang w:eastAsia="en-IN" w:bidi="bn-IN"/>
              </w:rPr>
            </w:pPr>
            <w:r w:rsidRPr="0002513C">
              <w:rPr>
                <w:rFonts w:ascii="Times New Roman" w:eastAsia="Times New Roman" w:hAnsi="Times New Roman" w:cs="Times New Roman"/>
                <w:b/>
                <w:bCs/>
                <w:color w:val="FFFFFF"/>
                <w:sz w:val="20"/>
                <w:szCs w:val="20"/>
                <w:lang w:eastAsia="en-IN" w:bidi="bn-IN"/>
              </w:rPr>
              <w:t>2024</w:t>
            </w:r>
          </w:p>
        </w:tc>
        <w:tc>
          <w:tcPr>
            <w:tcW w:w="717" w:type="dxa"/>
            <w:tcBorders>
              <w:top w:val="nil"/>
              <w:left w:val="nil"/>
              <w:bottom w:val="single" w:sz="4" w:space="0" w:color="000000"/>
              <w:right w:val="single" w:sz="4" w:space="0" w:color="000000"/>
            </w:tcBorders>
            <w:shd w:val="clear" w:color="1F497D" w:fill="1F497D"/>
            <w:noWrap/>
            <w:vAlign w:val="center"/>
            <w:hideMark/>
          </w:tcPr>
          <w:p w14:paraId="03C0EB5F" w14:textId="77777777" w:rsidR="00006424" w:rsidRPr="0002513C" w:rsidRDefault="00006424" w:rsidP="00D47C54">
            <w:pPr>
              <w:spacing w:after="0" w:line="240" w:lineRule="auto"/>
              <w:rPr>
                <w:rFonts w:ascii="Times New Roman" w:eastAsia="Times New Roman" w:hAnsi="Times New Roman" w:cs="Times New Roman"/>
                <w:b/>
                <w:bCs/>
                <w:color w:val="FFFFFF"/>
                <w:sz w:val="20"/>
                <w:szCs w:val="20"/>
                <w:lang w:eastAsia="en-IN" w:bidi="bn-IN"/>
              </w:rPr>
            </w:pPr>
            <w:r w:rsidRPr="0002513C">
              <w:rPr>
                <w:rFonts w:ascii="Times New Roman" w:eastAsia="Times New Roman" w:hAnsi="Times New Roman" w:cs="Times New Roman"/>
                <w:b/>
                <w:bCs/>
                <w:color w:val="FFFFFF"/>
                <w:sz w:val="20"/>
                <w:szCs w:val="20"/>
                <w:lang w:eastAsia="en-IN" w:bidi="bn-IN"/>
              </w:rPr>
              <w:t>2025</w:t>
            </w:r>
          </w:p>
        </w:tc>
        <w:tc>
          <w:tcPr>
            <w:tcW w:w="717" w:type="dxa"/>
            <w:tcBorders>
              <w:top w:val="nil"/>
              <w:left w:val="nil"/>
              <w:bottom w:val="single" w:sz="4" w:space="0" w:color="000000"/>
              <w:right w:val="single" w:sz="4" w:space="0" w:color="000000"/>
            </w:tcBorders>
            <w:shd w:val="clear" w:color="1F497D" w:fill="1F497D"/>
            <w:noWrap/>
            <w:vAlign w:val="center"/>
            <w:hideMark/>
          </w:tcPr>
          <w:p w14:paraId="1B125822" w14:textId="77777777" w:rsidR="00006424" w:rsidRPr="0002513C" w:rsidRDefault="00006424" w:rsidP="00D47C54">
            <w:pPr>
              <w:spacing w:after="0" w:line="240" w:lineRule="auto"/>
              <w:rPr>
                <w:rFonts w:ascii="Times New Roman" w:eastAsia="Times New Roman" w:hAnsi="Times New Roman" w:cs="Times New Roman"/>
                <w:b/>
                <w:bCs/>
                <w:color w:val="FFFFFF"/>
                <w:sz w:val="20"/>
                <w:szCs w:val="20"/>
                <w:lang w:eastAsia="en-IN" w:bidi="bn-IN"/>
              </w:rPr>
            </w:pPr>
            <w:r w:rsidRPr="0002513C">
              <w:rPr>
                <w:rFonts w:ascii="Times New Roman" w:eastAsia="Times New Roman" w:hAnsi="Times New Roman" w:cs="Times New Roman"/>
                <w:b/>
                <w:bCs/>
                <w:color w:val="FFFFFF"/>
                <w:sz w:val="20"/>
                <w:szCs w:val="20"/>
                <w:lang w:eastAsia="en-IN" w:bidi="bn-IN"/>
              </w:rPr>
              <w:t>2026</w:t>
            </w:r>
          </w:p>
        </w:tc>
        <w:tc>
          <w:tcPr>
            <w:tcW w:w="717" w:type="dxa"/>
            <w:tcBorders>
              <w:top w:val="nil"/>
              <w:left w:val="nil"/>
              <w:bottom w:val="single" w:sz="4" w:space="0" w:color="000000"/>
              <w:right w:val="single" w:sz="4" w:space="0" w:color="000000"/>
            </w:tcBorders>
            <w:shd w:val="clear" w:color="1F497D" w:fill="1F497D"/>
            <w:noWrap/>
            <w:vAlign w:val="center"/>
            <w:hideMark/>
          </w:tcPr>
          <w:p w14:paraId="29CBC1CE" w14:textId="77777777" w:rsidR="00006424" w:rsidRPr="0002513C" w:rsidRDefault="00006424" w:rsidP="00D47C54">
            <w:pPr>
              <w:spacing w:after="0" w:line="240" w:lineRule="auto"/>
              <w:rPr>
                <w:rFonts w:ascii="Times New Roman" w:eastAsia="Times New Roman" w:hAnsi="Times New Roman" w:cs="Times New Roman"/>
                <w:b/>
                <w:bCs/>
                <w:color w:val="FFFFFF"/>
                <w:sz w:val="20"/>
                <w:szCs w:val="20"/>
                <w:lang w:eastAsia="en-IN" w:bidi="bn-IN"/>
              </w:rPr>
            </w:pPr>
            <w:r w:rsidRPr="0002513C">
              <w:rPr>
                <w:rFonts w:ascii="Times New Roman" w:eastAsia="Times New Roman" w:hAnsi="Times New Roman" w:cs="Times New Roman"/>
                <w:b/>
                <w:bCs/>
                <w:color w:val="FFFFFF"/>
                <w:sz w:val="20"/>
                <w:szCs w:val="20"/>
                <w:lang w:eastAsia="en-IN" w:bidi="bn-IN"/>
              </w:rPr>
              <w:t>2027</w:t>
            </w:r>
          </w:p>
        </w:tc>
        <w:tc>
          <w:tcPr>
            <w:tcW w:w="717" w:type="dxa"/>
            <w:tcBorders>
              <w:top w:val="nil"/>
              <w:left w:val="nil"/>
              <w:bottom w:val="single" w:sz="4" w:space="0" w:color="000000"/>
              <w:right w:val="single" w:sz="4" w:space="0" w:color="000000"/>
            </w:tcBorders>
            <w:shd w:val="clear" w:color="1F497D" w:fill="1F497D"/>
            <w:noWrap/>
            <w:vAlign w:val="center"/>
            <w:hideMark/>
          </w:tcPr>
          <w:p w14:paraId="08D6D12F" w14:textId="77777777" w:rsidR="00006424" w:rsidRPr="0002513C" w:rsidRDefault="00006424" w:rsidP="00D47C54">
            <w:pPr>
              <w:spacing w:after="0" w:line="240" w:lineRule="auto"/>
              <w:rPr>
                <w:rFonts w:ascii="Times New Roman" w:eastAsia="Times New Roman" w:hAnsi="Times New Roman" w:cs="Times New Roman"/>
                <w:b/>
                <w:bCs/>
                <w:color w:val="FFFFFF"/>
                <w:sz w:val="20"/>
                <w:szCs w:val="20"/>
                <w:lang w:eastAsia="en-IN" w:bidi="bn-IN"/>
              </w:rPr>
            </w:pPr>
            <w:r w:rsidRPr="0002513C">
              <w:rPr>
                <w:rFonts w:ascii="Times New Roman" w:eastAsia="Times New Roman" w:hAnsi="Times New Roman" w:cs="Times New Roman"/>
                <w:b/>
                <w:bCs/>
                <w:color w:val="FFFFFF"/>
                <w:sz w:val="20"/>
                <w:szCs w:val="20"/>
                <w:lang w:eastAsia="en-IN" w:bidi="bn-IN"/>
              </w:rPr>
              <w:t>2028</w:t>
            </w:r>
          </w:p>
        </w:tc>
        <w:tc>
          <w:tcPr>
            <w:tcW w:w="717" w:type="dxa"/>
            <w:tcBorders>
              <w:top w:val="nil"/>
              <w:left w:val="nil"/>
              <w:bottom w:val="single" w:sz="4" w:space="0" w:color="000000"/>
              <w:right w:val="single" w:sz="4" w:space="0" w:color="000000"/>
            </w:tcBorders>
            <w:shd w:val="clear" w:color="1F497D" w:fill="1F497D"/>
            <w:noWrap/>
            <w:vAlign w:val="center"/>
            <w:hideMark/>
          </w:tcPr>
          <w:p w14:paraId="3423A748" w14:textId="77777777" w:rsidR="00006424" w:rsidRPr="0002513C" w:rsidRDefault="00006424" w:rsidP="00D47C54">
            <w:pPr>
              <w:spacing w:after="0" w:line="240" w:lineRule="auto"/>
              <w:rPr>
                <w:rFonts w:ascii="Times New Roman" w:eastAsia="Times New Roman" w:hAnsi="Times New Roman" w:cs="Times New Roman"/>
                <w:b/>
                <w:bCs/>
                <w:color w:val="FFFFFF"/>
                <w:sz w:val="20"/>
                <w:szCs w:val="20"/>
                <w:lang w:eastAsia="en-IN" w:bidi="bn-IN"/>
              </w:rPr>
            </w:pPr>
            <w:r w:rsidRPr="0002513C">
              <w:rPr>
                <w:rFonts w:ascii="Times New Roman" w:eastAsia="Times New Roman" w:hAnsi="Times New Roman" w:cs="Times New Roman"/>
                <w:b/>
                <w:bCs/>
                <w:color w:val="FFFFFF"/>
                <w:sz w:val="20"/>
                <w:szCs w:val="20"/>
                <w:lang w:eastAsia="en-IN" w:bidi="bn-IN"/>
              </w:rPr>
              <w:t>2029</w:t>
            </w:r>
          </w:p>
        </w:tc>
        <w:tc>
          <w:tcPr>
            <w:tcW w:w="671" w:type="dxa"/>
            <w:tcBorders>
              <w:top w:val="nil"/>
              <w:left w:val="nil"/>
              <w:bottom w:val="single" w:sz="4" w:space="0" w:color="000000"/>
              <w:right w:val="single" w:sz="4" w:space="0" w:color="auto"/>
            </w:tcBorders>
            <w:shd w:val="clear" w:color="1F497D" w:fill="1F497D"/>
            <w:noWrap/>
            <w:vAlign w:val="center"/>
            <w:hideMark/>
          </w:tcPr>
          <w:p w14:paraId="56D53944" w14:textId="77777777" w:rsidR="00006424" w:rsidRPr="0002513C" w:rsidRDefault="00006424" w:rsidP="00D47C54">
            <w:pPr>
              <w:spacing w:after="0" w:line="240" w:lineRule="auto"/>
              <w:rPr>
                <w:rFonts w:ascii="Times New Roman" w:eastAsia="Times New Roman" w:hAnsi="Times New Roman" w:cs="Times New Roman"/>
                <w:b/>
                <w:bCs/>
                <w:color w:val="FFFFFF"/>
                <w:sz w:val="20"/>
                <w:szCs w:val="20"/>
                <w:lang w:eastAsia="en-IN" w:bidi="bn-IN"/>
              </w:rPr>
            </w:pPr>
            <w:r w:rsidRPr="0002513C">
              <w:rPr>
                <w:rFonts w:ascii="Times New Roman" w:eastAsia="Times New Roman" w:hAnsi="Times New Roman" w:cs="Times New Roman"/>
                <w:b/>
                <w:bCs/>
                <w:color w:val="FFFFFF"/>
                <w:sz w:val="20"/>
                <w:szCs w:val="20"/>
                <w:lang w:eastAsia="en-IN" w:bidi="bn-IN"/>
              </w:rPr>
              <w:t>2030</w:t>
            </w:r>
          </w:p>
        </w:tc>
      </w:tr>
      <w:tr w:rsidR="00006424" w:rsidRPr="00D47C54" w14:paraId="6614B286" w14:textId="77777777" w:rsidTr="00D767EF">
        <w:trPr>
          <w:trHeight w:val="300"/>
        </w:trPr>
        <w:tc>
          <w:tcPr>
            <w:tcW w:w="3402" w:type="dxa"/>
            <w:vMerge/>
            <w:tcBorders>
              <w:left w:val="single" w:sz="4" w:space="0" w:color="auto"/>
              <w:bottom w:val="single" w:sz="4" w:space="0" w:color="000000"/>
              <w:right w:val="single" w:sz="4" w:space="0" w:color="000000"/>
            </w:tcBorders>
            <w:noWrap/>
            <w:vAlign w:val="center"/>
            <w:hideMark/>
          </w:tcPr>
          <w:p w14:paraId="7E1EE1CB" w14:textId="77777777" w:rsidR="00006424" w:rsidRPr="0002513C" w:rsidRDefault="00006424" w:rsidP="00D47C54">
            <w:pPr>
              <w:spacing w:after="0" w:line="240" w:lineRule="auto"/>
              <w:rPr>
                <w:rFonts w:ascii="Times New Roman" w:eastAsia="Times New Roman" w:hAnsi="Times New Roman" w:cs="Times New Roman"/>
                <w:color w:val="000000"/>
                <w:sz w:val="20"/>
                <w:szCs w:val="20"/>
                <w:lang w:eastAsia="en-IN" w:bidi="bn-IN"/>
              </w:rPr>
            </w:pPr>
          </w:p>
        </w:tc>
        <w:tc>
          <w:tcPr>
            <w:tcW w:w="717" w:type="dxa"/>
            <w:tcBorders>
              <w:top w:val="nil"/>
              <w:left w:val="nil"/>
              <w:bottom w:val="single" w:sz="4" w:space="0" w:color="000000"/>
              <w:right w:val="single" w:sz="4" w:space="0" w:color="000000"/>
            </w:tcBorders>
            <w:shd w:val="clear" w:color="2C5282" w:fill="2C5282"/>
            <w:noWrap/>
            <w:vAlign w:val="center"/>
            <w:hideMark/>
          </w:tcPr>
          <w:p w14:paraId="01C923C8" w14:textId="77777777" w:rsidR="00006424" w:rsidRPr="0002513C" w:rsidRDefault="00006424" w:rsidP="00D47C54">
            <w:pPr>
              <w:spacing w:after="0" w:line="240" w:lineRule="auto"/>
              <w:rPr>
                <w:rFonts w:ascii="Times New Roman" w:eastAsia="Times New Roman" w:hAnsi="Times New Roman" w:cs="Times New Roman"/>
                <w:color w:val="FFFFFF"/>
                <w:sz w:val="20"/>
                <w:szCs w:val="20"/>
                <w:lang w:eastAsia="en-IN" w:bidi="bn-IN"/>
              </w:rPr>
            </w:pPr>
            <w:r w:rsidRPr="0002513C">
              <w:rPr>
                <w:rFonts w:ascii="Times New Roman" w:eastAsia="Times New Roman" w:hAnsi="Times New Roman" w:cs="Times New Roman"/>
                <w:color w:val="FFFFFF"/>
                <w:sz w:val="20"/>
                <w:szCs w:val="20"/>
                <w:lang w:eastAsia="en-IN" w:bidi="bn-IN"/>
              </w:rPr>
              <w:t>Act.</w:t>
            </w:r>
          </w:p>
        </w:tc>
        <w:tc>
          <w:tcPr>
            <w:tcW w:w="717" w:type="dxa"/>
            <w:tcBorders>
              <w:top w:val="nil"/>
              <w:left w:val="nil"/>
              <w:bottom w:val="single" w:sz="4" w:space="0" w:color="000000"/>
              <w:right w:val="single" w:sz="4" w:space="0" w:color="000000"/>
            </w:tcBorders>
            <w:shd w:val="clear" w:color="2C5282" w:fill="2C5282"/>
            <w:noWrap/>
            <w:vAlign w:val="center"/>
            <w:hideMark/>
          </w:tcPr>
          <w:p w14:paraId="1C6E6D06" w14:textId="77777777" w:rsidR="00006424" w:rsidRPr="0002513C" w:rsidRDefault="00006424" w:rsidP="00D47C54">
            <w:pPr>
              <w:spacing w:after="0" w:line="240" w:lineRule="auto"/>
              <w:rPr>
                <w:rFonts w:ascii="Times New Roman" w:eastAsia="Times New Roman" w:hAnsi="Times New Roman" w:cs="Times New Roman"/>
                <w:color w:val="FFFFFF"/>
                <w:sz w:val="20"/>
                <w:szCs w:val="20"/>
                <w:lang w:eastAsia="en-IN" w:bidi="bn-IN"/>
              </w:rPr>
            </w:pPr>
            <w:r w:rsidRPr="0002513C">
              <w:rPr>
                <w:rFonts w:ascii="Times New Roman" w:eastAsia="Times New Roman" w:hAnsi="Times New Roman" w:cs="Times New Roman"/>
                <w:color w:val="FFFFFF"/>
                <w:sz w:val="20"/>
                <w:szCs w:val="20"/>
                <w:lang w:eastAsia="en-IN" w:bidi="bn-IN"/>
              </w:rPr>
              <w:t>Act.</w:t>
            </w:r>
          </w:p>
        </w:tc>
        <w:tc>
          <w:tcPr>
            <w:tcW w:w="717" w:type="dxa"/>
            <w:tcBorders>
              <w:top w:val="nil"/>
              <w:left w:val="nil"/>
              <w:bottom w:val="single" w:sz="4" w:space="0" w:color="000000"/>
              <w:right w:val="single" w:sz="4" w:space="0" w:color="000000"/>
            </w:tcBorders>
            <w:shd w:val="clear" w:color="2C5282" w:fill="2C5282"/>
            <w:noWrap/>
            <w:vAlign w:val="center"/>
            <w:hideMark/>
          </w:tcPr>
          <w:p w14:paraId="53594FF4" w14:textId="77777777" w:rsidR="00006424" w:rsidRPr="0002513C" w:rsidRDefault="00006424" w:rsidP="00D47C54">
            <w:pPr>
              <w:spacing w:after="0" w:line="240" w:lineRule="auto"/>
              <w:rPr>
                <w:rFonts w:ascii="Times New Roman" w:eastAsia="Times New Roman" w:hAnsi="Times New Roman" w:cs="Times New Roman"/>
                <w:color w:val="FFFFFF"/>
                <w:sz w:val="20"/>
                <w:szCs w:val="20"/>
                <w:lang w:eastAsia="en-IN" w:bidi="bn-IN"/>
              </w:rPr>
            </w:pPr>
            <w:r w:rsidRPr="0002513C">
              <w:rPr>
                <w:rFonts w:ascii="Times New Roman" w:eastAsia="Times New Roman" w:hAnsi="Times New Roman" w:cs="Times New Roman"/>
                <w:color w:val="FFFFFF"/>
                <w:sz w:val="20"/>
                <w:szCs w:val="20"/>
                <w:lang w:eastAsia="en-IN" w:bidi="bn-IN"/>
              </w:rPr>
              <w:t>Act.</w:t>
            </w:r>
          </w:p>
        </w:tc>
        <w:tc>
          <w:tcPr>
            <w:tcW w:w="717" w:type="dxa"/>
            <w:tcBorders>
              <w:top w:val="nil"/>
              <w:left w:val="nil"/>
              <w:bottom w:val="single" w:sz="4" w:space="0" w:color="000000"/>
              <w:right w:val="single" w:sz="4" w:space="0" w:color="000000"/>
            </w:tcBorders>
            <w:shd w:val="clear" w:color="2C5282" w:fill="2C5282"/>
            <w:noWrap/>
            <w:vAlign w:val="center"/>
            <w:hideMark/>
          </w:tcPr>
          <w:p w14:paraId="245D2D24" w14:textId="77777777" w:rsidR="00006424" w:rsidRPr="0002513C" w:rsidRDefault="00006424" w:rsidP="00D47C54">
            <w:pPr>
              <w:spacing w:after="0" w:line="240" w:lineRule="auto"/>
              <w:rPr>
                <w:rFonts w:ascii="Times New Roman" w:eastAsia="Times New Roman" w:hAnsi="Times New Roman" w:cs="Times New Roman"/>
                <w:color w:val="FFFFFF"/>
                <w:sz w:val="20"/>
                <w:szCs w:val="20"/>
                <w:lang w:eastAsia="en-IN" w:bidi="bn-IN"/>
              </w:rPr>
            </w:pPr>
            <w:r w:rsidRPr="0002513C">
              <w:rPr>
                <w:rFonts w:ascii="Times New Roman" w:eastAsia="Times New Roman" w:hAnsi="Times New Roman" w:cs="Times New Roman"/>
                <w:color w:val="FFFFFF"/>
                <w:sz w:val="20"/>
                <w:szCs w:val="20"/>
                <w:lang w:eastAsia="en-IN" w:bidi="bn-IN"/>
              </w:rPr>
              <w:t>Act.</w:t>
            </w:r>
          </w:p>
        </w:tc>
        <w:tc>
          <w:tcPr>
            <w:tcW w:w="717" w:type="dxa"/>
            <w:tcBorders>
              <w:top w:val="nil"/>
              <w:left w:val="nil"/>
              <w:bottom w:val="single" w:sz="4" w:space="0" w:color="000000"/>
              <w:right w:val="single" w:sz="4" w:space="0" w:color="000000"/>
            </w:tcBorders>
            <w:shd w:val="clear" w:color="2C5282" w:fill="2C5282"/>
            <w:noWrap/>
            <w:vAlign w:val="center"/>
            <w:hideMark/>
          </w:tcPr>
          <w:p w14:paraId="25998E54" w14:textId="77777777" w:rsidR="00006424" w:rsidRPr="0002513C" w:rsidRDefault="00006424" w:rsidP="00D47C54">
            <w:pPr>
              <w:spacing w:after="0" w:line="240" w:lineRule="auto"/>
              <w:rPr>
                <w:rFonts w:ascii="Times New Roman" w:eastAsia="Times New Roman" w:hAnsi="Times New Roman" w:cs="Times New Roman"/>
                <w:color w:val="FFFFFF"/>
                <w:sz w:val="20"/>
                <w:szCs w:val="20"/>
                <w:lang w:eastAsia="en-IN" w:bidi="bn-IN"/>
              </w:rPr>
            </w:pPr>
            <w:r w:rsidRPr="0002513C">
              <w:rPr>
                <w:rFonts w:ascii="Times New Roman" w:eastAsia="Times New Roman" w:hAnsi="Times New Roman" w:cs="Times New Roman"/>
                <w:color w:val="FFFFFF"/>
                <w:sz w:val="20"/>
                <w:szCs w:val="20"/>
                <w:lang w:eastAsia="en-IN" w:bidi="bn-IN"/>
              </w:rPr>
              <w:t>Act.</w:t>
            </w:r>
          </w:p>
        </w:tc>
        <w:tc>
          <w:tcPr>
            <w:tcW w:w="717" w:type="dxa"/>
            <w:tcBorders>
              <w:top w:val="nil"/>
              <w:left w:val="nil"/>
              <w:bottom w:val="single" w:sz="4" w:space="0" w:color="000000"/>
              <w:right w:val="single" w:sz="4" w:space="0" w:color="000000"/>
            </w:tcBorders>
            <w:shd w:val="clear" w:color="2C5282" w:fill="2C5282"/>
            <w:noWrap/>
            <w:vAlign w:val="center"/>
            <w:hideMark/>
          </w:tcPr>
          <w:p w14:paraId="0EF5F49A" w14:textId="77777777" w:rsidR="00006424" w:rsidRPr="0002513C" w:rsidRDefault="00006424" w:rsidP="00D47C54">
            <w:pPr>
              <w:spacing w:after="0" w:line="240" w:lineRule="auto"/>
              <w:rPr>
                <w:rFonts w:ascii="Times New Roman" w:eastAsia="Times New Roman" w:hAnsi="Times New Roman" w:cs="Times New Roman"/>
                <w:color w:val="FFFFFF"/>
                <w:sz w:val="20"/>
                <w:szCs w:val="20"/>
                <w:lang w:eastAsia="en-IN" w:bidi="bn-IN"/>
              </w:rPr>
            </w:pPr>
            <w:r w:rsidRPr="0002513C">
              <w:rPr>
                <w:rFonts w:ascii="Times New Roman" w:eastAsia="Times New Roman" w:hAnsi="Times New Roman" w:cs="Times New Roman"/>
                <w:color w:val="FFFFFF"/>
                <w:sz w:val="20"/>
                <w:szCs w:val="20"/>
                <w:lang w:eastAsia="en-IN" w:bidi="bn-IN"/>
              </w:rPr>
              <w:t>Est.</w:t>
            </w:r>
          </w:p>
        </w:tc>
        <w:tc>
          <w:tcPr>
            <w:tcW w:w="717" w:type="dxa"/>
            <w:tcBorders>
              <w:top w:val="nil"/>
              <w:left w:val="nil"/>
              <w:bottom w:val="single" w:sz="4" w:space="0" w:color="000000"/>
              <w:right w:val="single" w:sz="4" w:space="0" w:color="000000"/>
            </w:tcBorders>
            <w:shd w:val="clear" w:color="2C5282" w:fill="2C5282"/>
            <w:noWrap/>
            <w:vAlign w:val="center"/>
            <w:hideMark/>
          </w:tcPr>
          <w:p w14:paraId="0CB56162" w14:textId="77777777" w:rsidR="00006424" w:rsidRPr="0002513C" w:rsidRDefault="00006424" w:rsidP="00D47C54">
            <w:pPr>
              <w:spacing w:after="0" w:line="240" w:lineRule="auto"/>
              <w:rPr>
                <w:rFonts w:ascii="Times New Roman" w:eastAsia="Times New Roman" w:hAnsi="Times New Roman" w:cs="Times New Roman"/>
                <w:color w:val="FFFFFF"/>
                <w:sz w:val="20"/>
                <w:szCs w:val="20"/>
                <w:lang w:eastAsia="en-IN" w:bidi="bn-IN"/>
              </w:rPr>
            </w:pPr>
            <w:proofErr w:type="spellStart"/>
            <w:r w:rsidRPr="0002513C">
              <w:rPr>
                <w:rFonts w:ascii="Times New Roman" w:eastAsia="Times New Roman" w:hAnsi="Times New Roman" w:cs="Times New Roman"/>
                <w:color w:val="FFFFFF"/>
                <w:sz w:val="20"/>
                <w:szCs w:val="20"/>
                <w:lang w:eastAsia="en-IN" w:bidi="bn-IN"/>
              </w:rPr>
              <w:t>Proj</w:t>
            </w:r>
            <w:proofErr w:type="spellEnd"/>
            <w:r w:rsidRPr="0002513C">
              <w:rPr>
                <w:rFonts w:ascii="Times New Roman" w:eastAsia="Times New Roman" w:hAnsi="Times New Roman" w:cs="Times New Roman"/>
                <w:color w:val="FFFFFF"/>
                <w:sz w:val="20"/>
                <w:szCs w:val="20"/>
                <w:lang w:eastAsia="en-IN" w:bidi="bn-IN"/>
              </w:rPr>
              <w:t>.</w:t>
            </w:r>
          </w:p>
        </w:tc>
        <w:tc>
          <w:tcPr>
            <w:tcW w:w="717" w:type="dxa"/>
            <w:tcBorders>
              <w:top w:val="nil"/>
              <w:left w:val="nil"/>
              <w:bottom w:val="single" w:sz="4" w:space="0" w:color="000000"/>
              <w:right w:val="single" w:sz="4" w:space="0" w:color="000000"/>
            </w:tcBorders>
            <w:shd w:val="clear" w:color="2C5282" w:fill="2C5282"/>
            <w:noWrap/>
            <w:vAlign w:val="center"/>
            <w:hideMark/>
          </w:tcPr>
          <w:p w14:paraId="2565B13D" w14:textId="77777777" w:rsidR="00006424" w:rsidRPr="0002513C" w:rsidRDefault="00006424" w:rsidP="00D47C54">
            <w:pPr>
              <w:spacing w:after="0" w:line="240" w:lineRule="auto"/>
              <w:rPr>
                <w:rFonts w:ascii="Times New Roman" w:eastAsia="Times New Roman" w:hAnsi="Times New Roman" w:cs="Times New Roman"/>
                <w:color w:val="FFFFFF"/>
                <w:sz w:val="20"/>
                <w:szCs w:val="20"/>
                <w:lang w:eastAsia="en-IN" w:bidi="bn-IN"/>
              </w:rPr>
            </w:pPr>
            <w:proofErr w:type="spellStart"/>
            <w:r w:rsidRPr="0002513C">
              <w:rPr>
                <w:rFonts w:ascii="Times New Roman" w:eastAsia="Times New Roman" w:hAnsi="Times New Roman" w:cs="Times New Roman"/>
                <w:color w:val="FFFFFF"/>
                <w:sz w:val="20"/>
                <w:szCs w:val="20"/>
                <w:lang w:eastAsia="en-IN" w:bidi="bn-IN"/>
              </w:rPr>
              <w:t>Proj</w:t>
            </w:r>
            <w:proofErr w:type="spellEnd"/>
            <w:r w:rsidRPr="0002513C">
              <w:rPr>
                <w:rFonts w:ascii="Times New Roman" w:eastAsia="Times New Roman" w:hAnsi="Times New Roman" w:cs="Times New Roman"/>
                <w:color w:val="FFFFFF"/>
                <w:sz w:val="20"/>
                <w:szCs w:val="20"/>
                <w:lang w:eastAsia="en-IN" w:bidi="bn-IN"/>
              </w:rPr>
              <w:t>.</w:t>
            </w:r>
          </w:p>
        </w:tc>
        <w:tc>
          <w:tcPr>
            <w:tcW w:w="717" w:type="dxa"/>
            <w:tcBorders>
              <w:top w:val="nil"/>
              <w:left w:val="nil"/>
              <w:bottom w:val="single" w:sz="4" w:space="0" w:color="000000"/>
              <w:right w:val="single" w:sz="4" w:space="0" w:color="000000"/>
            </w:tcBorders>
            <w:shd w:val="clear" w:color="2C5282" w:fill="2C5282"/>
            <w:noWrap/>
            <w:vAlign w:val="center"/>
            <w:hideMark/>
          </w:tcPr>
          <w:p w14:paraId="494D3352" w14:textId="77777777" w:rsidR="00006424" w:rsidRPr="0002513C" w:rsidRDefault="00006424" w:rsidP="00D47C54">
            <w:pPr>
              <w:spacing w:after="0" w:line="240" w:lineRule="auto"/>
              <w:rPr>
                <w:rFonts w:ascii="Times New Roman" w:eastAsia="Times New Roman" w:hAnsi="Times New Roman" w:cs="Times New Roman"/>
                <w:color w:val="FFFFFF"/>
                <w:sz w:val="20"/>
                <w:szCs w:val="20"/>
                <w:lang w:eastAsia="en-IN" w:bidi="bn-IN"/>
              </w:rPr>
            </w:pPr>
            <w:proofErr w:type="spellStart"/>
            <w:r w:rsidRPr="0002513C">
              <w:rPr>
                <w:rFonts w:ascii="Times New Roman" w:eastAsia="Times New Roman" w:hAnsi="Times New Roman" w:cs="Times New Roman"/>
                <w:color w:val="FFFFFF"/>
                <w:sz w:val="20"/>
                <w:szCs w:val="20"/>
                <w:lang w:eastAsia="en-IN" w:bidi="bn-IN"/>
              </w:rPr>
              <w:t>Proj</w:t>
            </w:r>
            <w:proofErr w:type="spellEnd"/>
            <w:r w:rsidRPr="0002513C">
              <w:rPr>
                <w:rFonts w:ascii="Times New Roman" w:eastAsia="Times New Roman" w:hAnsi="Times New Roman" w:cs="Times New Roman"/>
                <w:color w:val="FFFFFF"/>
                <w:sz w:val="20"/>
                <w:szCs w:val="20"/>
                <w:lang w:eastAsia="en-IN" w:bidi="bn-IN"/>
              </w:rPr>
              <w:t>.</w:t>
            </w:r>
          </w:p>
        </w:tc>
        <w:tc>
          <w:tcPr>
            <w:tcW w:w="717" w:type="dxa"/>
            <w:tcBorders>
              <w:top w:val="nil"/>
              <w:left w:val="nil"/>
              <w:bottom w:val="single" w:sz="4" w:space="0" w:color="000000"/>
              <w:right w:val="single" w:sz="4" w:space="0" w:color="000000"/>
            </w:tcBorders>
            <w:shd w:val="clear" w:color="2C5282" w:fill="2C5282"/>
            <w:noWrap/>
            <w:vAlign w:val="center"/>
            <w:hideMark/>
          </w:tcPr>
          <w:p w14:paraId="31B6B98A" w14:textId="77777777" w:rsidR="00006424" w:rsidRPr="0002513C" w:rsidRDefault="00006424" w:rsidP="00D47C54">
            <w:pPr>
              <w:spacing w:after="0" w:line="240" w:lineRule="auto"/>
              <w:rPr>
                <w:rFonts w:ascii="Times New Roman" w:eastAsia="Times New Roman" w:hAnsi="Times New Roman" w:cs="Times New Roman"/>
                <w:color w:val="FFFFFF"/>
                <w:sz w:val="20"/>
                <w:szCs w:val="20"/>
                <w:lang w:eastAsia="en-IN" w:bidi="bn-IN"/>
              </w:rPr>
            </w:pPr>
            <w:proofErr w:type="spellStart"/>
            <w:r w:rsidRPr="0002513C">
              <w:rPr>
                <w:rFonts w:ascii="Times New Roman" w:eastAsia="Times New Roman" w:hAnsi="Times New Roman" w:cs="Times New Roman"/>
                <w:color w:val="FFFFFF"/>
                <w:sz w:val="20"/>
                <w:szCs w:val="20"/>
                <w:lang w:eastAsia="en-IN" w:bidi="bn-IN"/>
              </w:rPr>
              <w:t>Proj</w:t>
            </w:r>
            <w:proofErr w:type="spellEnd"/>
            <w:r w:rsidRPr="0002513C">
              <w:rPr>
                <w:rFonts w:ascii="Times New Roman" w:eastAsia="Times New Roman" w:hAnsi="Times New Roman" w:cs="Times New Roman"/>
                <w:color w:val="FFFFFF"/>
                <w:sz w:val="20"/>
                <w:szCs w:val="20"/>
                <w:lang w:eastAsia="en-IN" w:bidi="bn-IN"/>
              </w:rPr>
              <w:t>.</w:t>
            </w:r>
          </w:p>
        </w:tc>
        <w:tc>
          <w:tcPr>
            <w:tcW w:w="671" w:type="dxa"/>
            <w:tcBorders>
              <w:top w:val="nil"/>
              <w:left w:val="nil"/>
              <w:bottom w:val="single" w:sz="4" w:space="0" w:color="000000"/>
              <w:right w:val="single" w:sz="4" w:space="0" w:color="auto"/>
            </w:tcBorders>
            <w:shd w:val="clear" w:color="2C5282" w:fill="2C5282"/>
            <w:noWrap/>
            <w:vAlign w:val="center"/>
            <w:hideMark/>
          </w:tcPr>
          <w:p w14:paraId="49F8BA6D" w14:textId="77777777" w:rsidR="00006424" w:rsidRPr="0002513C" w:rsidRDefault="00006424" w:rsidP="00D47C54">
            <w:pPr>
              <w:spacing w:after="0" w:line="240" w:lineRule="auto"/>
              <w:rPr>
                <w:rFonts w:ascii="Times New Roman" w:eastAsia="Times New Roman" w:hAnsi="Times New Roman" w:cs="Times New Roman"/>
                <w:color w:val="FFFFFF"/>
                <w:sz w:val="20"/>
                <w:szCs w:val="20"/>
                <w:lang w:eastAsia="en-IN" w:bidi="bn-IN"/>
              </w:rPr>
            </w:pPr>
            <w:proofErr w:type="spellStart"/>
            <w:r w:rsidRPr="0002513C">
              <w:rPr>
                <w:rFonts w:ascii="Times New Roman" w:eastAsia="Times New Roman" w:hAnsi="Times New Roman" w:cs="Times New Roman"/>
                <w:color w:val="FFFFFF"/>
                <w:sz w:val="20"/>
                <w:szCs w:val="20"/>
                <w:lang w:eastAsia="en-IN" w:bidi="bn-IN"/>
              </w:rPr>
              <w:t>Proj</w:t>
            </w:r>
            <w:proofErr w:type="spellEnd"/>
            <w:r w:rsidRPr="0002513C">
              <w:rPr>
                <w:rFonts w:ascii="Times New Roman" w:eastAsia="Times New Roman" w:hAnsi="Times New Roman" w:cs="Times New Roman"/>
                <w:color w:val="FFFFFF"/>
                <w:sz w:val="20"/>
                <w:szCs w:val="20"/>
                <w:lang w:eastAsia="en-IN" w:bidi="bn-IN"/>
              </w:rPr>
              <w:t>.</w:t>
            </w:r>
          </w:p>
        </w:tc>
      </w:tr>
      <w:tr w:rsidR="00D47C54" w:rsidRPr="00D47C54" w14:paraId="18C3CD92" w14:textId="77777777" w:rsidTr="00D767EF">
        <w:trPr>
          <w:trHeight w:val="300"/>
        </w:trPr>
        <w:tc>
          <w:tcPr>
            <w:tcW w:w="11243" w:type="dxa"/>
            <w:gridSpan w:val="12"/>
            <w:tcBorders>
              <w:top w:val="single" w:sz="4" w:space="0" w:color="000000"/>
              <w:left w:val="single" w:sz="4" w:space="0" w:color="auto"/>
              <w:bottom w:val="single" w:sz="4" w:space="0" w:color="000000"/>
              <w:right w:val="single" w:sz="4" w:space="0" w:color="auto"/>
            </w:tcBorders>
            <w:shd w:val="clear" w:color="EBF8FF" w:fill="EBF8FF"/>
            <w:noWrap/>
            <w:vAlign w:val="center"/>
            <w:hideMark/>
          </w:tcPr>
          <w:p w14:paraId="4311B118" w14:textId="77777777" w:rsidR="00D47C54" w:rsidRPr="0002513C" w:rsidRDefault="00D47C54" w:rsidP="00D47C54">
            <w:pPr>
              <w:spacing w:after="0" w:line="240" w:lineRule="auto"/>
              <w:rPr>
                <w:rFonts w:ascii="Times New Roman" w:eastAsia="Times New Roman" w:hAnsi="Times New Roman" w:cs="Times New Roman"/>
                <w:b/>
                <w:bCs/>
                <w:color w:val="1F497D"/>
                <w:sz w:val="20"/>
                <w:szCs w:val="20"/>
                <w:lang w:eastAsia="en-IN" w:bidi="bn-IN"/>
              </w:rPr>
            </w:pPr>
            <w:r w:rsidRPr="0002513C">
              <w:rPr>
                <w:rFonts w:ascii="Times New Roman" w:eastAsia="Times New Roman" w:hAnsi="Times New Roman" w:cs="Times New Roman"/>
                <w:b/>
                <w:bCs/>
                <w:color w:val="1F497D"/>
                <w:sz w:val="20"/>
                <w:szCs w:val="20"/>
                <w:lang w:eastAsia="en-IN" w:bidi="bn-IN"/>
              </w:rPr>
              <w:t>National income and prices (Percentage change, unless otherwise indicated)</w:t>
            </w:r>
          </w:p>
        </w:tc>
      </w:tr>
      <w:tr w:rsidR="00D47C54" w:rsidRPr="00D47C54" w14:paraId="3AA05C8E" w14:textId="77777777" w:rsidTr="00D767EF">
        <w:trPr>
          <w:trHeight w:val="300"/>
        </w:trPr>
        <w:tc>
          <w:tcPr>
            <w:tcW w:w="3402" w:type="dxa"/>
            <w:tcBorders>
              <w:top w:val="nil"/>
              <w:left w:val="single" w:sz="4" w:space="0" w:color="auto"/>
              <w:bottom w:val="single" w:sz="4" w:space="0" w:color="000000"/>
              <w:right w:val="single" w:sz="4" w:space="0" w:color="000000"/>
            </w:tcBorders>
            <w:shd w:val="clear" w:color="F7FAFC" w:fill="F7FAFC"/>
            <w:noWrap/>
            <w:vAlign w:val="center"/>
            <w:hideMark/>
          </w:tcPr>
          <w:p w14:paraId="2AB22A70"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Real GDP</w:t>
            </w:r>
          </w:p>
        </w:tc>
        <w:tc>
          <w:tcPr>
            <w:tcW w:w="717" w:type="dxa"/>
            <w:tcBorders>
              <w:top w:val="nil"/>
              <w:left w:val="nil"/>
              <w:bottom w:val="single" w:sz="4" w:space="0" w:color="000000"/>
              <w:right w:val="single" w:sz="4" w:space="0" w:color="000000"/>
            </w:tcBorders>
            <w:shd w:val="clear" w:color="F7FAFC" w:fill="F7FAFC"/>
            <w:noWrap/>
            <w:vAlign w:val="center"/>
            <w:hideMark/>
          </w:tcPr>
          <w:p w14:paraId="1012E0B5"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-1.2</w:t>
            </w:r>
          </w:p>
        </w:tc>
        <w:tc>
          <w:tcPr>
            <w:tcW w:w="717" w:type="dxa"/>
            <w:tcBorders>
              <w:top w:val="nil"/>
              <w:left w:val="nil"/>
              <w:bottom w:val="single" w:sz="4" w:space="0" w:color="000000"/>
              <w:right w:val="single" w:sz="4" w:space="0" w:color="000000"/>
            </w:tcBorders>
            <w:shd w:val="clear" w:color="F7FAFC" w:fill="F7FAFC"/>
            <w:noWrap/>
            <w:vAlign w:val="center"/>
            <w:hideMark/>
          </w:tcPr>
          <w:p w14:paraId="3F434750"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2.4</w:t>
            </w:r>
          </w:p>
        </w:tc>
        <w:tc>
          <w:tcPr>
            <w:tcW w:w="717" w:type="dxa"/>
            <w:tcBorders>
              <w:top w:val="nil"/>
              <w:left w:val="nil"/>
              <w:bottom w:val="single" w:sz="4" w:space="0" w:color="000000"/>
              <w:right w:val="single" w:sz="4" w:space="0" w:color="000000"/>
            </w:tcBorders>
            <w:shd w:val="clear" w:color="F7FAFC" w:fill="F7FAFC"/>
            <w:noWrap/>
            <w:vAlign w:val="center"/>
            <w:hideMark/>
          </w:tcPr>
          <w:p w14:paraId="13138D7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4.4</w:t>
            </w:r>
          </w:p>
        </w:tc>
        <w:tc>
          <w:tcPr>
            <w:tcW w:w="717" w:type="dxa"/>
            <w:tcBorders>
              <w:top w:val="nil"/>
              <w:left w:val="nil"/>
              <w:bottom w:val="single" w:sz="4" w:space="0" w:color="000000"/>
              <w:right w:val="single" w:sz="4" w:space="0" w:color="000000"/>
            </w:tcBorders>
            <w:shd w:val="clear" w:color="F7FAFC" w:fill="F7FAFC"/>
            <w:noWrap/>
            <w:vAlign w:val="center"/>
            <w:hideMark/>
          </w:tcPr>
          <w:p w14:paraId="70262FE5"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5.5</w:t>
            </w:r>
          </w:p>
        </w:tc>
        <w:tc>
          <w:tcPr>
            <w:tcW w:w="717" w:type="dxa"/>
            <w:tcBorders>
              <w:top w:val="nil"/>
              <w:left w:val="nil"/>
              <w:bottom w:val="single" w:sz="4" w:space="0" w:color="000000"/>
              <w:right w:val="single" w:sz="4" w:space="0" w:color="000000"/>
            </w:tcBorders>
            <w:shd w:val="clear" w:color="F7FAFC" w:fill="F7FAFC"/>
            <w:noWrap/>
            <w:vAlign w:val="center"/>
            <w:hideMark/>
          </w:tcPr>
          <w:p w14:paraId="04084A19"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2.1</w:t>
            </w:r>
          </w:p>
        </w:tc>
        <w:tc>
          <w:tcPr>
            <w:tcW w:w="717" w:type="dxa"/>
            <w:tcBorders>
              <w:top w:val="nil"/>
              <w:left w:val="nil"/>
              <w:bottom w:val="single" w:sz="4" w:space="0" w:color="000000"/>
              <w:right w:val="single" w:sz="4" w:space="0" w:color="000000"/>
            </w:tcBorders>
            <w:shd w:val="clear" w:color="F7FAFC" w:fill="F7FAFC"/>
            <w:noWrap/>
            <w:vAlign w:val="center"/>
            <w:hideMark/>
          </w:tcPr>
          <w:p w14:paraId="4D0F55C2"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0.5</w:t>
            </w:r>
          </w:p>
        </w:tc>
        <w:tc>
          <w:tcPr>
            <w:tcW w:w="717" w:type="dxa"/>
            <w:tcBorders>
              <w:top w:val="nil"/>
              <w:left w:val="nil"/>
              <w:bottom w:val="single" w:sz="4" w:space="0" w:color="000000"/>
              <w:right w:val="single" w:sz="4" w:space="0" w:color="000000"/>
            </w:tcBorders>
            <w:shd w:val="clear" w:color="F7FAFC" w:fill="F7FAFC"/>
            <w:noWrap/>
            <w:vAlign w:val="center"/>
            <w:hideMark/>
          </w:tcPr>
          <w:p w14:paraId="6059C18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1.9</w:t>
            </w:r>
          </w:p>
        </w:tc>
        <w:tc>
          <w:tcPr>
            <w:tcW w:w="717" w:type="dxa"/>
            <w:tcBorders>
              <w:top w:val="nil"/>
              <w:left w:val="nil"/>
              <w:bottom w:val="single" w:sz="4" w:space="0" w:color="000000"/>
              <w:right w:val="single" w:sz="4" w:space="0" w:color="000000"/>
            </w:tcBorders>
            <w:shd w:val="clear" w:color="F7FAFC" w:fill="F7FAFC"/>
            <w:noWrap/>
            <w:vAlign w:val="center"/>
            <w:hideMark/>
          </w:tcPr>
          <w:p w14:paraId="6E63226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2.7</w:t>
            </w:r>
          </w:p>
        </w:tc>
        <w:tc>
          <w:tcPr>
            <w:tcW w:w="717" w:type="dxa"/>
            <w:tcBorders>
              <w:top w:val="nil"/>
              <w:left w:val="nil"/>
              <w:bottom w:val="single" w:sz="4" w:space="0" w:color="000000"/>
              <w:right w:val="single" w:sz="4" w:space="0" w:color="000000"/>
            </w:tcBorders>
            <w:shd w:val="clear" w:color="F7FAFC" w:fill="F7FAFC"/>
            <w:noWrap/>
            <w:vAlign w:val="center"/>
            <w:hideMark/>
          </w:tcPr>
          <w:p w14:paraId="6C2B9DA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2.2</w:t>
            </w:r>
          </w:p>
        </w:tc>
        <w:tc>
          <w:tcPr>
            <w:tcW w:w="717" w:type="dxa"/>
            <w:tcBorders>
              <w:top w:val="nil"/>
              <w:left w:val="nil"/>
              <w:bottom w:val="single" w:sz="4" w:space="0" w:color="000000"/>
              <w:right w:val="single" w:sz="4" w:space="0" w:color="000000"/>
            </w:tcBorders>
            <w:shd w:val="clear" w:color="F7FAFC" w:fill="F7FAFC"/>
            <w:noWrap/>
            <w:vAlign w:val="center"/>
            <w:hideMark/>
          </w:tcPr>
          <w:p w14:paraId="604B5659"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3.1</w:t>
            </w:r>
          </w:p>
        </w:tc>
        <w:tc>
          <w:tcPr>
            <w:tcW w:w="671" w:type="dxa"/>
            <w:tcBorders>
              <w:top w:val="nil"/>
              <w:left w:val="nil"/>
              <w:bottom w:val="single" w:sz="4" w:space="0" w:color="000000"/>
              <w:right w:val="single" w:sz="4" w:space="0" w:color="auto"/>
            </w:tcBorders>
            <w:shd w:val="clear" w:color="F7FAFC" w:fill="F7FAFC"/>
            <w:noWrap/>
            <w:vAlign w:val="center"/>
            <w:hideMark/>
          </w:tcPr>
          <w:p w14:paraId="453C6FF8"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11.9</w:t>
            </w:r>
          </w:p>
        </w:tc>
      </w:tr>
      <w:tr w:rsidR="00D47C54" w:rsidRPr="00D47C54" w14:paraId="746B7E5D" w14:textId="77777777" w:rsidTr="00D767EF">
        <w:trPr>
          <w:trHeight w:val="300"/>
        </w:trPr>
        <w:tc>
          <w:tcPr>
            <w:tcW w:w="3402" w:type="dxa"/>
            <w:tcBorders>
              <w:top w:val="nil"/>
              <w:left w:val="single" w:sz="4" w:space="0" w:color="auto"/>
              <w:bottom w:val="single" w:sz="4" w:space="0" w:color="000000"/>
              <w:right w:val="single" w:sz="4" w:space="0" w:color="000000"/>
            </w:tcBorders>
            <w:noWrap/>
            <w:vAlign w:val="center"/>
            <w:hideMark/>
          </w:tcPr>
          <w:p w14:paraId="350B76CC"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Real GDP, excl. extractive industries</w:t>
            </w:r>
          </w:p>
        </w:tc>
        <w:tc>
          <w:tcPr>
            <w:tcW w:w="717" w:type="dxa"/>
            <w:tcBorders>
              <w:top w:val="nil"/>
              <w:left w:val="nil"/>
              <w:bottom w:val="single" w:sz="4" w:space="0" w:color="000000"/>
              <w:right w:val="single" w:sz="4" w:space="0" w:color="000000"/>
            </w:tcBorders>
            <w:noWrap/>
            <w:vAlign w:val="center"/>
            <w:hideMark/>
          </w:tcPr>
          <w:p w14:paraId="13D9475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0.3</w:t>
            </w:r>
          </w:p>
        </w:tc>
        <w:tc>
          <w:tcPr>
            <w:tcW w:w="717" w:type="dxa"/>
            <w:tcBorders>
              <w:top w:val="nil"/>
              <w:left w:val="nil"/>
              <w:bottom w:val="single" w:sz="4" w:space="0" w:color="000000"/>
              <w:right w:val="single" w:sz="4" w:space="0" w:color="000000"/>
            </w:tcBorders>
            <w:noWrap/>
            <w:vAlign w:val="center"/>
            <w:hideMark/>
          </w:tcPr>
          <w:p w14:paraId="1192257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2.4</w:t>
            </w:r>
          </w:p>
        </w:tc>
        <w:tc>
          <w:tcPr>
            <w:tcW w:w="717" w:type="dxa"/>
            <w:tcBorders>
              <w:top w:val="nil"/>
              <w:left w:val="nil"/>
              <w:bottom w:val="single" w:sz="4" w:space="0" w:color="000000"/>
              <w:right w:val="single" w:sz="4" w:space="0" w:color="000000"/>
            </w:tcBorders>
            <w:noWrap/>
            <w:vAlign w:val="center"/>
            <w:hideMark/>
          </w:tcPr>
          <w:p w14:paraId="2EB4897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3.9</w:t>
            </w:r>
          </w:p>
        </w:tc>
        <w:tc>
          <w:tcPr>
            <w:tcW w:w="717" w:type="dxa"/>
            <w:tcBorders>
              <w:top w:val="nil"/>
              <w:left w:val="nil"/>
              <w:bottom w:val="single" w:sz="4" w:space="0" w:color="000000"/>
              <w:right w:val="single" w:sz="4" w:space="0" w:color="000000"/>
            </w:tcBorders>
            <w:noWrap/>
            <w:vAlign w:val="center"/>
            <w:hideMark/>
          </w:tcPr>
          <w:p w14:paraId="5F0B8E3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2.2</w:t>
            </w:r>
          </w:p>
        </w:tc>
        <w:tc>
          <w:tcPr>
            <w:tcW w:w="717" w:type="dxa"/>
            <w:tcBorders>
              <w:top w:val="nil"/>
              <w:left w:val="nil"/>
              <w:bottom w:val="single" w:sz="4" w:space="0" w:color="000000"/>
              <w:right w:val="single" w:sz="4" w:space="0" w:color="000000"/>
            </w:tcBorders>
            <w:noWrap/>
            <w:vAlign w:val="center"/>
            <w:hideMark/>
          </w:tcPr>
          <w:p w14:paraId="595D012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1.2</w:t>
            </w:r>
          </w:p>
        </w:tc>
        <w:tc>
          <w:tcPr>
            <w:tcW w:w="717" w:type="dxa"/>
            <w:tcBorders>
              <w:top w:val="nil"/>
              <w:left w:val="nil"/>
              <w:bottom w:val="single" w:sz="4" w:space="0" w:color="000000"/>
              <w:right w:val="single" w:sz="4" w:space="0" w:color="000000"/>
            </w:tcBorders>
            <w:noWrap/>
            <w:vAlign w:val="center"/>
            <w:hideMark/>
          </w:tcPr>
          <w:p w14:paraId="6002B93E"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0.0</w:t>
            </w:r>
          </w:p>
        </w:tc>
        <w:tc>
          <w:tcPr>
            <w:tcW w:w="717" w:type="dxa"/>
            <w:tcBorders>
              <w:top w:val="nil"/>
              <w:left w:val="nil"/>
              <w:bottom w:val="single" w:sz="4" w:space="0" w:color="000000"/>
              <w:right w:val="single" w:sz="4" w:space="0" w:color="000000"/>
            </w:tcBorders>
            <w:noWrap/>
            <w:vAlign w:val="center"/>
            <w:hideMark/>
          </w:tcPr>
          <w:p w14:paraId="63896B91"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2.0</w:t>
            </w:r>
          </w:p>
        </w:tc>
        <w:tc>
          <w:tcPr>
            <w:tcW w:w="717" w:type="dxa"/>
            <w:tcBorders>
              <w:top w:val="nil"/>
              <w:left w:val="nil"/>
              <w:bottom w:val="single" w:sz="4" w:space="0" w:color="000000"/>
              <w:right w:val="single" w:sz="4" w:space="0" w:color="000000"/>
            </w:tcBorders>
            <w:noWrap/>
            <w:vAlign w:val="center"/>
            <w:hideMark/>
          </w:tcPr>
          <w:p w14:paraId="29F09708"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2.0</w:t>
            </w:r>
          </w:p>
        </w:tc>
        <w:tc>
          <w:tcPr>
            <w:tcW w:w="717" w:type="dxa"/>
            <w:tcBorders>
              <w:top w:val="nil"/>
              <w:left w:val="nil"/>
              <w:bottom w:val="single" w:sz="4" w:space="0" w:color="000000"/>
              <w:right w:val="single" w:sz="4" w:space="0" w:color="000000"/>
            </w:tcBorders>
            <w:noWrap/>
            <w:vAlign w:val="center"/>
            <w:hideMark/>
          </w:tcPr>
          <w:p w14:paraId="0DDEE35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2.0</w:t>
            </w:r>
          </w:p>
        </w:tc>
        <w:tc>
          <w:tcPr>
            <w:tcW w:w="717" w:type="dxa"/>
            <w:tcBorders>
              <w:top w:val="nil"/>
              <w:left w:val="nil"/>
              <w:bottom w:val="single" w:sz="4" w:space="0" w:color="000000"/>
              <w:right w:val="single" w:sz="4" w:space="0" w:color="000000"/>
            </w:tcBorders>
            <w:noWrap/>
            <w:vAlign w:val="center"/>
            <w:hideMark/>
          </w:tcPr>
          <w:p w14:paraId="3AC3C3B0"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3.0</w:t>
            </w:r>
          </w:p>
        </w:tc>
        <w:tc>
          <w:tcPr>
            <w:tcW w:w="671" w:type="dxa"/>
            <w:tcBorders>
              <w:top w:val="nil"/>
              <w:left w:val="nil"/>
              <w:bottom w:val="single" w:sz="4" w:space="0" w:color="000000"/>
              <w:right w:val="single" w:sz="4" w:space="0" w:color="auto"/>
            </w:tcBorders>
            <w:noWrap/>
            <w:vAlign w:val="center"/>
            <w:hideMark/>
          </w:tcPr>
          <w:p w14:paraId="03371D4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4.0</w:t>
            </w:r>
          </w:p>
        </w:tc>
      </w:tr>
      <w:tr w:rsidR="00D47C54" w:rsidRPr="00D47C54" w14:paraId="20EF274C" w14:textId="77777777" w:rsidTr="00D767EF">
        <w:trPr>
          <w:trHeight w:val="300"/>
        </w:trPr>
        <w:tc>
          <w:tcPr>
            <w:tcW w:w="3402" w:type="dxa"/>
            <w:tcBorders>
              <w:top w:val="nil"/>
              <w:left w:val="single" w:sz="4" w:space="0" w:color="auto"/>
              <w:bottom w:val="single" w:sz="4" w:space="0" w:color="000000"/>
              <w:right w:val="single" w:sz="4" w:space="0" w:color="000000"/>
            </w:tcBorders>
            <w:shd w:val="clear" w:color="F7FAFC" w:fill="F7FAFC"/>
            <w:noWrap/>
            <w:vAlign w:val="center"/>
            <w:hideMark/>
          </w:tcPr>
          <w:p w14:paraId="5ADBB7DD"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Nominal GDP</w:t>
            </w:r>
          </w:p>
        </w:tc>
        <w:tc>
          <w:tcPr>
            <w:tcW w:w="717" w:type="dxa"/>
            <w:tcBorders>
              <w:top w:val="nil"/>
              <w:left w:val="nil"/>
              <w:bottom w:val="single" w:sz="4" w:space="0" w:color="000000"/>
              <w:right w:val="single" w:sz="4" w:space="0" w:color="000000"/>
            </w:tcBorders>
            <w:shd w:val="clear" w:color="F7FAFC" w:fill="F7FAFC"/>
            <w:noWrap/>
            <w:vAlign w:val="center"/>
            <w:hideMark/>
          </w:tcPr>
          <w:p w14:paraId="3A29706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1.9</w:t>
            </w:r>
          </w:p>
        </w:tc>
        <w:tc>
          <w:tcPr>
            <w:tcW w:w="717" w:type="dxa"/>
            <w:tcBorders>
              <w:top w:val="nil"/>
              <w:left w:val="nil"/>
              <w:bottom w:val="single" w:sz="4" w:space="0" w:color="000000"/>
              <w:right w:val="single" w:sz="4" w:space="0" w:color="000000"/>
            </w:tcBorders>
            <w:shd w:val="clear" w:color="F7FAFC" w:fill="F7FAFC"/>
            <w:noWrap/>
            <w:vAlign w:val="center"/>
            <w:hideMark/>
          </w:tcPr>
          <w:p w14:paraId="62CAE8F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7.0</w:t>
            </w:r>
          </w:p>
        </w:tc>
        <w:tc>
          <w:tcPr>
            <w:tcW w:w="717" w:type="dxa"/>
            <w:tcBorders>
              <w:top w:val="nil"/>
              <w:left w:val="nil"/>
              <w:bottom w:val="single" w:sz="4" w:space="0" w:color="000000"/>
              <w:right w:val="single" w:sz="4" w:space="0" w:color="000000"/>
            </w:tcBorders>
            <w:shd w:val="clear" w:color="F7FAFC" w:fill="F7FAFC"/>
            <w:noWrap/>
            <w:vAlign w:val="center"/>
            <w:hideMark/>
          </w:tcPr>
          <w:p w14:paraId="1D57ACF0"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13.9</w:t>
            </w:r>
          </w:p>
        </w:tc>
        <w:tc>
          <w:tcPr>
            <w:tcW w:w="717" w:type="dxa"/>
            <w:tcBorders>
              <w:top w:val="nil"/>
              <w:left w:val="nil"/>
              <w:bottom w:val="single" w:sz="4" w:space="0" w:color="000000"/>
              <w:right w:val="single" w:sz="4" w:space="0" w:color="000000"/>
            </w:tcBorders>
            <w:shd w:val="clear" w:color="F7FAFC" w:fill="F7FAFC"/>
            <w:noWrap/>
            <w:vAlign w:val="center"/>
            <w:hideMark/>
          </w:tcPr>
          <w:p w14:paraId="479233E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10.9</w:t>
            </w:r>
          </w:p>
        </w:tc>
        <w:tc>
          <w:tcPr>
            <w:tcW w:w="717" w:type="dxa"/>
            <w:tcBorders>
              <w:top w:val="nil"/>
              <w:left w:val="nil"/>
              <w:bottom w:val="single" w:sz="4" w:space="0" w:color="000000"/>
              <w:right w:val="single" w:sz="4" w:space="0" w:color="000000"/>
            </w:tcBorders>
            <w:shd w:val="clear" w:color="F7FAFC" w:fill="F7FAFC"/>
            <w:noWrap/>
            <w:vAlign w:val="center"/>
            <w:hideMark/>
          </w:tcPr>
          <w:p w14:paraId="4EDEE28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8.8</w:t>
            </w:r>
          </w:p>
        </w:tc>
        <w:tc>
          <w:tcPr>
            <w:tcW w:w="717" w:type="dxa"/>
            <w:tcBorders>
              <w:top w:val="nil"/>
              <w:left w:val="nil"/>
              <w:bottom w:val="single" w:sz="4" w:space="0" w:color="000000"/>
              <w:right w:val="single" w:sz="4" w:space="0" w:color="000000"/>
            </w:tcBorders>
            <w:shd w:val="clear" w:color="F7FAFC" w:fill="F7FAFC"/>
            <w:noWrap/>
            <w:vAlign w:val="center"/>
            <w:hideMark/>
          </w:tcPr>
          <w:p w14:paraId="57A5A0F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7.6</w:t>
            </w:r>
          </w:p>
        </w:tc>
        <w:tc>
          <w:tcPr>
            <w:tcW w:w="717" w:type="dxa"/>
            <w:tcBorders>
              <w:top w:val="nil"/>
              <w:left w:val="nil"/>
              <w:bottom w:val="single" w:sz="4" w:space="0" w:color="000000"/>
              <w:right w:val="single" w:sz="4" w:space="0" w:color="000000"/>
            </w:tcBorders>
            <w:shd w:val="clear" w:color="F7FAFC" w:fill="F7FAFC"/>
            <w:noWrap/>
            <w:vAlign w:val="center"/>
            <w:hideMark/>
          </w:tcPr>
          <w:p w14:paraId="081E40D0"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8.4</w:t>
            </w:r>
          </w:p>
        </w:tc>
        <w:tc>
          <w:tcPr>
            <w:tcW w:w="717" w:type="dxa"/>
            <w:tcBorders>
              <w:top w:val="nil"/>
              <w:left w:val="nil"/>
              <w:bottom w:val="single" w:sz="4" w:space="0" w:color="000000"/>
              <w:right w:val="single" w:sz="4" w:space="0" w:color="000000"/>
            </w:tcBorders>
            <w:shd w:val="clear" w:color="F7FAFC" w:fill="F7FAFC"/>
            <w:noWrap/>
            <w:vAlign w:val="center"/>
            <w:hideMark/>
          </w:tcPr>
          <w:p w14:paraId="0BA92DC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9.3</w:t>
            </w:r>
          </w:p>
        </w:tc>
        <w:tc>
          <w:tcPr>
            <w:tcW w:w="717" w:type="dxa"/>
            <w:tcBorders>
              <w:top w:val="nil"/>
              <w:left w:val="nil"/>
              <w:bottom w:val="single" w:sz="4" w:space="0" w:color="000000"/>
              <w:right w:val="single" w:sz="4" w:space="0" w:color="000000"/>
            </w:tcBorders>
            <w:shd w:val="clear" w:color="F7FAFC" w:fill="F7FAFC"/>
            <w:noWrap/>
            <w:vAlign w:val="center"/>
            <w:hideMark/>
          </w:tcPr>
          <w:p w14:paraId="744EDAD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9.2</w:t>
            </w:r>
          </w:p>
        </w:tc>
        <w:tc>
          <w:tcPr>
            <w:tcW w:w="717" w:type="dxa"/>
            <w:tcBorders>
              <w:top w:val="nil"/>
              <w:left w:val="nil"/>
              <w:bottom w:val="single" w:sz="4" w:space="0" w:color="000000"/>
              <w:right w:val="single" w:sz="4" w:space="0" w:color="000000"/>
            </w:tcBorders>
            <w:shd w:val="clear" w:color="F7FAFC" w:fill="F7FAFC"/>
            <w:noWrap/>
            <w:vAlign w:val="center"/>
            <w:hideMark/>
          </w:tcPr>
          <w:p w14:paraId="102DCA30"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10.6</w:t>
            </w:r>
          </w:p>
        </w:tc>
        <w:tc>
          <w:tcPr>
            <w:tcW w:w="671" w:type="dxa"/>
            <w:tcBorders>
              <w:top w:val="nil"/>
              <w:left w:val="nil"/>
              <w:bottom w:val="single" w:sz="4" w:space="0" w:color="000000"/>
              <w:right w:val="single" w:sz="4" w:space="0" w:color="auto"/>
            </w:tcBorders>
            <w:shd w:val="clear" w:color="F7FAFC" w:fill="F7FAFC"/>
            <w:noWrap/>
            <w:vAlign w:val="center"/>
            <w:hideMark/>
          </w:tcPr>
          <w:p w14:paraId="47B25EE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20.6</w:t>
            </w:r>
          </w:p>
        </w:tc>
      </w:tr>
      <w:tr w:rsidR="00D47C54" w:rsidRPr="00D47C54" w14:paraId="4B4B909F" w14:textId="77777777" w:rsidTr="00D767EF">
        <w:trPr>
          <w:trHeight w:val="300"/>
        </w:trPr>
        <w:tc>
          <w:tcPr>
            <w:tcW w:w="3402" w:type="dxa"/>
            <w:tcBorders>
              <w:top w:val="nil"/>
              <w:left w:val="single" w:sz="4" w:space="0" w:color="auto"/>
              <w:bottom w:val="single" w:sz="4" w:space="0" w:color="000000"/>
              <w:right w:val="single" w:sz="4" w:space="0" w:color="000000"/>
            </w:tcBorders>
            <w:noWrap/>
            <w:vAlign w:val="center"/>
            <w:hideMark/>
          </w:tcPr>
          <w:p w14:paraId="11C3599E"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GDP deflator</w:t>
            </w:r>
          </w:p>
        </w:tc>
        <w:tc>
          <w:tcPr>
            <w:tcW w:w="717" w:type="dxa"/>
            <w:tcBorders>
              <w:top w:val="nil"/>
              <w:left w:val="nil"/>
              <w:bottom w:val="single" w:sz="4" w:space="0" w:color="000000"/>
              <w:right w:val="single" w:sz="4" w:space="0" w:color="000000"/>
            </w:tcBorders>
            <w:noWrap/>
            <w:vAlign w:val="center"/>
            <w:hideMark/>
          </w:tcPr>
          <w:p w14:paraId="0E51AF0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3.2</w:t>
            </w:r>
          </w:p>
        </w:tc>
        <w:tc>
          <w:tcPr>
            <w:tcW w:w="717" w:type="dxa"/>
            <w:tcBorders>
              <w:top w:val="nil"/>
              <w:left w:val="nil"/>
              <w:bottom w:val="single" w:sz="4" w:space="0" w:color="000000"/>
              <w:right w:val="single" w:sz="4" w:space="0" w:color="000000"/>
            </w:tcBorders>
            <w:noWrap/>
            <w:vAlign w:val="center"/>
            <w:hideMark/>
          </w:tcPr>
          <w:p w14:paraId="6EB58FD0"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4.6</w:t>
            </w:r>
          </w:p>
        </w:tc>
        <w:tc>
          <w:tcPr>
            <w:tcW w:w="717" w:type="dxa"/>
            <w:tcBorders>
              <w:top w:val="nil"/>
              <w:left w:val="nil"/>
              <w:bottom w:val="single" w:sz="4" w:space="0" w:color="000000"/>
              <w:right w:val="single" w:sz="4" w:space="0" w:color="000000"/>
            </w:tcBorders>
            <w:noWrap/>
            <w:vAlign w:val="center"/>
            <w:hideMark/>
          </w:tcPr>
          <w:p w14:paraId="465B15B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9.2</w:t>
            </w:r>
          </w:p>
        </w:tc>
        <w:tc>
          <w:tcPr>
            <w:tcW w:w="717" w:type="dxa"/>
            <w:tcBorders>
              <w:top w:val="nil"/>
              <w:left w:val="nil"/>
              <w:bottom w:val="single" w:sz="4" w:space="0" w:color="000000"/>
              <w:right w:val="single" w:sz="4" w:space="0" w:color="000000"/>
            </w:tcBorders>
            <w:noWrap/>
            <w:vAlign w:val="center"/>
            <w:hideMark/>
          </w:tcPr>
          <w:p w14:paraId="2F5C46A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5.1</w:t>
            </w:r>
          </w:p>
        </w:tc>
        <w:tc>
          <w:tcPr>
            <w:tcW w:w="717" w:type="dxa"/>
            <w:tcBorders>
              <w:top w:val="nil"/>
              <w:left w:val="nil"/>
              <w:bottom w:val="single" w:sz="4" w:space="0" w:color="000000"/>
              <w:right w:val="single" w:sz="4" w:space="0" w:color="000000"/>
            </w:tcBorders>
            <w:noWrap/>
            <w:vAlign w:val="center"/>
            <w:hideMark/>
          </w:tcPr>
          <w:p w14:paraId="02101BB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6.5</w:t>
            </w:r>
          </w:p>
        </w:tc>
        <w:tc>
          <w:tcPr>
            <w:tcW w:w="717" w:type="dxa"/>
            <w:tcBorders>
              <w:top w:val="nil"/>
              <w:left w:val="nil"/>
              <w:bottom w:val="single" w:sz="4" w:space="0" w:color="000000"/>
              <w:right w:val="single" w:sz="4" w:space="0" w:color="000000"/>
            </w:tcBorders>
            <w:noWrap/>
            <w:vAlign w:val="center"/>
            <w:hideMark/>
          </w:tcPr>
          <w:p w14:paraId="3F04E0A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7.1</w:t>
            </w:r>
          </w:p>
        </w:tc>
        <w:tc>
          <w:tcPr>
            <w:tcW w:w="717" w:type="dxa"/>
            <w:tcBorders>
              <w:top w:val="nil"/>
              <w:left w:val="nil"/>
              <w:bottom w:val="single" w:sz="4" w:space="0" w:color="000000"/>
              <w:right w:val="single" w:sz="4" w:space="0" w:color="000000"/>
            </w:tcBorders>
            <w:noWrap/>
            <w:vAlign w:val="center"/>
            <w:hideMark/>
          </w:tcPr>
          <w:p w14:paraId="392C1D79"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6.3</w:t>
            </w:r>
          </w:p>
        </w:tc>
        <w:tc>
          <w:tcPr>
            <w:tcW w:w="717" w:type="dxa"/>
            <w:tcBorders>
              <w:top w:val="nil"/>
              <w:left w:val="nil"/>
              <w:bottom w:val="single" w:sz="4" w:space="0" w:color="000000"/>
              <w:right w:val="single" w:sz="4" w:space="0" w:color="000000"/>
            </w:tcBorders>
            <w:noWrap/>
            <w:vAlign w:val="center"/>
            <w:hideMark/>
          </w:tcPr>
          <w:p w14:paraId="6C73868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6.5</w:t>
            </w:r>
          </w:p>
        </w:tc>
        <w:tc>
          <w:tcPr>
            <w:tcW w:w="717" w:type="dxa"/>
            <w:tcBorders>
              <w:top w:val="nil"/>
              <w:left w:val="nil"/>
              <w:bottom w:val="single" w:sz="4" w:space="0" w:color="000000"/>
              <w:right w:val="single" w:sz="4" w:space="0" w:color="000000"/>
            </w:tcBorders>
            <w:noWrap/>
            <w:vAlign w:val="center"/>
            <w:hideMark/>
          </w:tcPr>
          <w:p w14:paraId="26FC74C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6.9</w:t>
            </w:r>
          </w:p>
        </w:tc>
        <w:tc>
          <w:tcPr>
            <w:tcW w:w="717" w:type="dxa"/>
            <w:tcBorders>
              <w:top w:val="nil"/>
              <w:left w:val="nil"/>
              <w:bottom w:val="single" w:sz="4" w:space="0" w:color="000000"/>
              <w:right w:val="single" w:sz="4" w:space="0" w:color="000000"/>
            </w:tcBorders>
            <w:noWrap/>
            <w:vAlign w:val="center"/>
            <w:hideMark/>
          </w:tcPr>
          <w:p w14:paraId="3E19F09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7.3</w:t>
            </w:r>
          </w:p>
        </w:tc>
        <w:tc>
          <w:tcPr>
            <w:tcW w:w="671" w:type="dxa"/>
            <w:tcBorders>
              <w:top w:val="nil"/>
              <w:left w:val="nil"/>
              <w:bottom w:val="single" w:sz="4" w:space="0" w:color="000000"/>
              <w:right w:val="single" w:sz="4" w:space="0" w:color="auto"/>
            </w:tcBorders>
            <w:noWrap/>
            <w:vAlign w:val="center"/>
            <w:hideMark/>
          </w:tcPr>
          <w:p w14:paraId="0430481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7.8</w:t>
            </w:r>
          </w:p>
        </w:tc>
      </w:tr>
      <w:tr w:rsidR="00D47C54" w:rsidRPr="00D47C54" w14:paraId="1250AEB9" w14:textId="77777777" w:rsidTr="00D767EF">
        <w:trPr>
          <w:trHeight w:val="300"/>
        </w:trPr>
        <w:tc>
          <w:tcPr>
            <w:tcW w:w="3402" w:type="dxa"/>
            <w:tcBorders>
              <w:top w:val="nil"/>
              <w:left w:val="single" w:sz="4" w:space="0" w:color="auto"/>
              <w:bottom w:val="single" w:sz="4" w:space="0" w:color="000000"/>
              <w:right w:val="single" w:sz="4" w:space="0" w:color="000000"/>
            </w:tcBorders>
            <w:shd w:val="clear" w:color="F7FAFC" w:fill="F7FAFC"/>
            <w:noWrap/>
            <w:vAlign w:val="center"/>
            <w:hideMark/>
          </w:tcPr>
          <w:p w14:paraId="2CF808EB"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Consumer prices (end of period)</w:t>
            </w:r>
          </w:p>
        </w:tc>
        <w:tc>
          <w:tcPr>
            <w:tcW w:w="717" w:type="dxa"/>
            <w:tcBorders>
              <w:top w:val="nil"/>
              <w:left w:val="nil"/>
              <w:bottom w:val="single" w:sz="4" w:space="0" w:color="000000"/>
              <w:right w:val="single" w:sz="4" w:space="0" w:color="000000"/>
            </w:tcBorders>
            <w:shd w:val="clear" w:color="F7FAFC" w:fill="F7FAFC"/>
            <w:noWrap/>
            <w:vAlign w:val="center"/>
            <w:hideMark/>
          </w:tcPr>
          <w:p w14:paraId="427ADB17"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4.4</w:t>
            </w:r>
          </w:p>
        </w:tc>
        <w:tc>
          <w:tcPr>
            <w:tcW w:w="717" w:type="dxa"/>
            <w:tcBorders>
              <w:top w:val="nil"/>
              <w:left w:val="nil"/>
              <w:bottom w:val="single" w:sz="4" w:space="0" w:color="000000"/>
              <w:right w:val="single" w:sz="4" w:space="0" w:color="000000"/>
            </w:tcBorders>
            <w:shd w:val="clear" w:color="F7FAFC" w:fill="F7FAFC"/>
            <w:noWrap/>
            <w:vAlign w:val="center"/>
            <w:hideMark/>
          </w:tcPr>
          <w:p w14:paraId="7E33D24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7.3</w:t>
            </w:r>
          </w:p>
        </w:tc>
        <w:tc>
          <w:tcPr>
            <w:tcW w:w="717" w:type="dxa"/>
            <w:tcBorders>
              <w:top w:val="nil"/>
              <w:left w:val="nil"/>
              <w:bottom w:val="single" w:sz="4" w:space="0" w:color="000000"/>
              <w:right w:val="single" w:sz="4" w:space="0" w:color="000000"/>
            </w:tcBorders>
            <w:shd w:val="clear" w:color="F7FAFC" w:fill="F7FAFC"/>
            <w:noWrap/>
            <w:vAlign w:val="center"/>
            <w:hideMark/>
          </w:tcPr>
          <w:p w14:paraId="2516CE3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10.9</w:t>
            </w:r>
          </w:p>
        </w:tc>
        <w:tc>
          <w:tcPr>
            <w:tcW w:w="717" w:type="dxa"/>
            <w:tcBorders>
              <w:top w:val="nil"/>
              <w:left w:val="nil"/>
              <w:bottom w:val="single" w:sz="4" w:space="0" w:color="000000"/>
              <w:right w:val="single" w:sz="4" w:space="0" w:color="000000"/>
            </w:tcBorders>
            <w:shd w:val="clear" w:color="F7FAFC" w:fill="F7FAFC"/>
            <w:noWrap/>
            <w:vAlign w:val="center"/>
            <w:hideMark/>
          </w:tcPr>
          <w:p w14:paraId="76F25837"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4.3</w:t>
            </w:r>
          </w:p>
        </w:tc>
        <w:tc>
          <w:tcPr>
            <w:tcW w:w="717" w:type="dxa"/>
            <w:tcBorders>
              <w:top w:val="nil"/>
              <w:left w:val="nil"/>
              <w:bottom w:val="single" w:sz="4" w:space="0" w:color="000000"/>
              <w:right w:val="single" w:sz="4" w:space="0" w:color="000000"/>
            </w:tcBorders>
            <w:shd w:val="clear" w:color="F7FAFC" w:fill="F7FAFC"/>
            <w:noWrap/>
            <w:vAlign w:val="center"/>
            <w:hideMark/>
          </w:tcPr>
          <w:p w14:paraId="4A2F2B51"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4.1</w:t>
            </w:r>
          </w:p>
        </w:tc>
        <w:tc>
          <w:tcPr>
            <w:tcW w:w="717" w:type="dxa"/>
            <w:tcBorders>
              <w:top w:val="nil"/>
              <w:left w:val="nil"/>
              <w:bottom w:val="single" w:sz="4" w:space="0" w:color="000000"/>
              <w:right w:val="single" w:sz="4" w:space="0" w:color="000000"/>
            </w:tcBorders>
            <w:shd w:val="clear" w:color="F7FAFC" w:fill="F7FAFC"/>
            <w:noWrap/>
            <w:vAlign w:val="center"/>
            <w:hideMark/>
          </w:tcPr>
          <w:p w14:paraId="0E9DADA7"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3.2</w:t>
            </w:r>
          </w:p>
        </w:tc>
        <w:tc>
          <w:tcPr>
            <w:tcW w:w="717" w:type="dxa"/>
            <w:tcBorders>
              <w:top w:val="nil"/>
              <w:left w:val="nil"/>
              <w:bottom w:val="single" w:sz="4" w:space="0" w:color="000000"/>
              <w:right w:val="single" w:sz="4" w:space="0" w:color="000000"/>
            </w:tcBorders>
            <w:shd w:val="clear" w:color="F7FAFC" w:fill="F7FAFC"/>
            <w:noWrap/>
            <w:vAlign w:val="center"/>
            <w:hideMark/>
          </w:tcPr>
          <w:p w14:paraId="521B905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6.0</w:t>
            </w:r>
          </w:p>
        </w:tc>
        <w:tc>
          <w:tcPr>
            <w:tcW w:w="717" w:type="dxa"/>
            <w:tcBorders>
              <w:top w:val="nil"/>
              <w:left w:val="nil"/>
              <w:bottom w:val="single" w:sz="4" w:space="0" w:color="000000"/>
              <w:right w:val="single" w:sz="4" w:space="0" w:color="000000"/>
            </w:tcBorders>
            <w:shd w:val="clear" w:color="F7FAFC" w:fill="F7FAFC"/>
            <w:noWrap/>
            <w:vAlign w:val="center"/>
            <w:hideMark/>
          </w:tcPr>
          <w:p w14:paraId="067E68E7"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6.5</w:t>
            </w:r>
          </w:p>
        </w:tc>
        <w:tc>
          <w:tcPr>
            <w:tcW w:w="717" w:type="dxa"/>
            <w:tcBorders>
              <w:top w:val="nil"/>
              <w:left w:val="nil"/>
              <w:bottom w:val="single" w:sz="4" w:space="0" w:color="000000"/>
              <w:right w:val="single" w:sz="4" w:space="0" w:color="000000"/>
            </w:tcBorders>
            <w:shd w:val="clear" w:color="F7FAFC" w:fill="F7FAFC"/>
            <w:noWrap/>
            <w:vAlign w:val="center"/>
            <w:hideMark/>
          </w:tcPr>
          <w:p w14:paraId="3A8B17F9"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7.0</w:t>
            </w:r>
          </w:p>
        </w:tc>
        <w:tc>
          <w:tcPr>
            <w:tcW w:w="717" w:type="dxa"/>
            <w:tcBorders>
              <w:top w:val="nil"/>
              <w:left w:val="nil"/>
              <w:bottom w:val="single" w:sz="4" w:space="0" w:color="000000"/>
              <w:right w:val="single" w:sz="4" w:space="0" w:color="000000"/>
            </w:tcBorders>
            <w:shd w:val="clear" w:color="F7FAFC" w:fill="F7FAFC"/>
            <w:noWrap/>
            <w:vAlign w:val="center"/>
            <w:hideMark/>
          </w:tcPr>
          <w:p w14:paraId="05236BD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7.5</w:t>
            </w:r>
          </w:p>
        </w:tc>
        <w:tc>
          <w:tcPr>
            <w:tcW w:w="671" w:type="dxa"/>
            <w:tcBorders>
              <w:top w:val="nil"/>
              <w:left w:val="nil"/>
              <w:bottom w:val="single" w:sz="4" w:space="0" w:color="000000"/>
              <w:right w:val="single" w:sz="4" w:space="0" w:color="auto"/>
            </w:tcBorders>
            <w:shd w:val="clear" w:color="F7FAFC" w:fill="F7FAFC"/>
            <w:noWrap/>
            <w:vAlign w:val="center"/>
            <w:hideMark/>
          </w:tcPr>
          <w:p w14:paraId="3AEC3241"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8.0</w:t>
            </w:r>
          </w:p>
        </w:tc>
      </w:tr>
      <w:tr w:rsidR="00D47C54" w:rsidRPr="00D47C54" w14:paraId="54EDEC2C" w14:textId="77777777" w:rsidTr="00D767EF">
        <w:trPr>
          <w:trHeight w:val="300"/>
        </w:trPr>
        <w:tc>
          <w:tcPr>
            <w:tcW w:w="3402" w:type="dxa"/>
            <w:tcBorders>
              <w:top w:val="nil"/>
              <w:left w:val="single" w:sz="4" w:space="0" w:color="auto"/>
              <w:bottom w:val="single" w:sz="4" w:space="0" w:color="000000"/>
              <w:right w:val="single" w:sz="4" w:space="0" w:color="000000"/>
            </w:tcBorders>
            <w:noWrap/>
            <w:vAlign w:val="center"/>
            <w:hideMark/>
          </w:tcPr>
          <w:p w14:paraId="3C4BB125"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Consumer prices (annual average)</w:t>
            </w:r>
          </w:p>
        </w:tc>
        <w:tc>
          <w:tcPr>
            <w:tcW w:w="717" w:type="dxa"/>
            <w:tcBorders>
              <w:top w:val="nil"/>
              <w:left w:val="nil"/>
              <w:bottom w:val="single" w:sz="4" w:space="0" w:color="000000"/>
              <w:right w:val="single" w:sz="4" w:space="0" w:color="000000"/>
            </w:tcBorders>
            <w:noWrap/>
            <w:vAlign w:val="center"/>
            <w:hideMark/>
          </w:tcPr>
          <w:p w14:paraId="3ED7AC49"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0.9</w:t>
            </w:r>
          </w:p>
        </w:tc>
        <w:tc>
          <w:tcPr>
            <w:tcW w:w="717" w:type="dxa"/>
            <w:tcBorders>
              <w:top w:val="nil"/>
              <w:left w:val="nil"/>
              <w:bottom w:val="single" w:sz="4" w:space="0" w:color="000000"/>
              <w:right w:val="single" w:sz="4" w:space="0" w:color="000000"/>
            </w:tcBorders>
            <w:noWrap/>
            <w:vAlign w:val="center"/>
            <w:hideMark/>
          </w:tcPr>
          <w:p w14:paraId="72F9502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6.6</w:t>
            </w:r>
          </w:p>
        </w:tc>
        <w:tc>
          <w:tcPr>
            <w:tcW w:w="717" w:type="dxa"/>
            <w:tcBorders>
              <w:top w:val="nil"/>
              <w:left w:val="nil"/>
              <w:bottom w:val="single" w:sz="4" w:space="0" w:color="000000"/>
              <w:right w:val="single" w:sz="4" w:space="0" w:color="000000"/>
            </w:tcBorders>
            <w:noWrap/>
            <w:vAlign w:val="center"/>
            <w:hideMark/>
          </w:tcPr>
          <w:p w14:paraId="6185982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10.4</w:t>
            </w:r>
          </w:p>
        </w:tc>
        <w:tc>
          <w:tcPr>
            <w:tcW w:w="717" w:type="dxa"/>
            <w:tcBorders>
              <w:top w:val="nil"/>
              <w:left w:val="nil"/>
              <w:bottom w:val="single" w:sz="4" w:space="0" w:color="000000"/>
              <w:right w:val="single" w:sz="4" w:space="0" w:color="000000"/>
            </w:tcBorders>
            <w:noWrap/>
            <w:vAlign w:val="center"/>
            <w:hideMark/>
          </w:tcPr>
          <w:p w14:paraId="5D2AE6D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7.0</w:t>
            </w:r>
          </w:p>
        </w:tc>
        <w:tc>
          <w:tcPr>
            <w:tcW w:w="717" w:type="dxa"/>
            <w:tcBorders>
              <w:top w:val="nil"/>
              <w:left w:val="nil"/>
              <w:bottom w:val="single" w:sz="4" w:space="0" w:color="000000"/>
              <w:right w:val="single" w:sz="4" w:space="0" w:color="000000"/>
            </w:tcBorders>
            <w:noWrap/>
            <w:vAlign w:val="center"/>
            <w:hideMark/>
          </w:tcPr>
          <w:p w14:paraId="51E765D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3.2</w:t>
            </w:r>
          </w:p>
        </w:tc>
        <w:tc>
          <w:tcPr>
            <w:tcW w:w="717" w:type="dxa"/>
            <w:tcBorders>
              <w:top w:val="nil"/>
              <w:left w:val="nil"/>
              <w:bottom w:val="single" w:sz="4" w:space="0" w:color="000000"/>
              <w:right w:val="single" w:sz="4" w:space="0" w:color="000000"/>
            </w:tcBorders>
            <w:noWrap/>
            <w:vAlign w:val="center"/>
            <w:hideMark/>
          </w:tcPr>
          <w:p w14:paraId="353A630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4.4</w:t>
            </w:r>
          </w:p>
        </w:tc>
        <w:tc>
          <w:tcPr>
            <w:tcW w:w="717" w:type="dxa"/>
            <w:tcBorders>
              <w:top w:val="nil"/>
              <w:left w:val="nil"/>
              <w:bottom w:val="single" w:sz="4" w:space="0" w:color="000000"/>
              <w:right w:val="single" w:sz="4" w:space="0" w:color="000000"/>
            </w:tcBorders>
            <w:noWrap/>
            <w:vAlign w:val="center"/>
            <w:hideMark/>
          </w:tcPr>
          <w:p w14:paraId="1BF63520"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5.6</w:t>
            </w:r>
          </w:p>
        </w:tc>
        <w:tc>
          <w:tcPr>
            <w:tcW w:w="717" w:type="dxa"/>
            <w:tcBorders>
              <w:top w:val="nil"/>
              <w:left w:val="nil"/>
              <w:bottom w:val="single" w:sz="4" w:space="0" w:color="000000"/>
              <w:right w:val="single" w:sz="4" w:space="0" w:color="000000"/>
            </w:tcBorders>
            <w:noWrap/>
            <w:vAlign w:val="center"/>
            <w:hideMark/>
          </w:tcPr>
          <w:p w14:paraId="4F60D2D5"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6.3</w:t>
            </w:r>
          </w:p>
        </w:tc>
        <w:tc>
          <w:tcPr>
            <w:tcW w:w="717" w:type="dxa"/>
            <w:tcBorders>
              <w:top w:val="nil"/>
              <w:left w:val="nil"/>
              <w:bottom w:val="single" w:sz="4" w:space="0" w:color="000000"/>
              <w:right w:val="single" w:sz="4" w:space="0" w:color="000000"/>
            </w:tcBorders>
            <w:noWrap/>
            <w:vAlign w:val="center"/>
            <w:hideMark/>
          </w:tcPr>
          <w:p w14:paraId="508516C9"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6.8</w:t>
            </w:r>
          </w:p>
        </w:tc>
        <w:tc>
          <w:tcPr>
            <w:tcW w:w="717" w:type="dxa"/>
            <w:tcBorders>
              <w:top w:val="nil"/>
              <w:left w:val="nil"/>
              <w:bottom w:val="single" w:sz="4" w:space="0" w:color="000000"/>
              <w:right w:val="single" w:sz="4" w:space="0" w:color="000000"/>
            </w:tcBorders>
            <w:noWrap/>
            <w:vAlign w:val="center"/>
            <w:hideMark/>
          </w:tcPr>
          <w:p w14:paraId="1CC7FBF5"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7.2</w:t>
            </w:r>
          </w:p>
        </w:tc>
        <w:tc>
          <w:tcPr>
            <w:tcW w:w="671" w:type="dxa"/>
            <w:tcBorders>
              <w:top w:val="nil"/>
              <w:left w:val="nil"/>
              <w:bottom w:val="single" w:sz="4" w:space="0" w:color="000000"/>
              <w:right w:val="single" w:sz="4" w:space="0" w:color="auto"/>
            </w:tcBorders>
            <w:noWrap/>
            <w:vAlign w:val="center"/>
            <w:hideMark/>
          </w:tcPr>
          <w:p w14:paraId="3F199EC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7.7</w:t>
            </w:r>
          </w:p>
        </w:tc>
      </w:tr>
      <w:tr w:rsidR="00D47C54" w:rsidRPr="00D47C54" w14:paraId="0AC8DC05" w14:textId="77777777" w:rsidTr="00D767EF">
        <w:trPr>
          <w:trHeight w:val="300"/>
        </w:trPr>
        <w:tc>
          <w:tcPr>
            <w:tcW w:w="3402" w:type="dxa"/>
            <w:tcBorders>
              <w:top w:val="nil"/>
              <w:left w:val="single" w:sz="4" w:space="0" w:color="auto"/>
              <w:bottom w:val="single" w:sz="4" w:space="0" w:color="000000"/>
              <w:right w:val="single" w:sz="4" w:space="0" w:color="000000"/>
            </w:tcBorders>
            <w:shd w:val="clear" w:color="F7FAFC" w:fill="F7FAFC"/>
            <w:noWrap/>
            <w:vAlign w:val="center"/>
            <w:hideMark/>
          </w:tcPr>
          <w:p w14:paraId="468A3BAF"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GDP (billions of meticais)</w:t>
            </w:r>
          </w:p>
        </w:tc>
        <w:tc>
          <w:tcPr>
            <w:tcW w:w="717" w:type="dxa"/>
            <w:tcBorders>
              <w:top w:val="nil"/>
              <w:left w:val="nil"/>
              <w:bottom w:val="single" w:sz="4" w:space="0" w:color="000000"/>
              <w:right w:val="single" w:sz="4" w:space="0" w:color="000000"/>
            </w:tcBorders>
            <w:shd w:val="clear" w:color="F7FAFC" w:fill="F7FAFC"/>
            <w:noWrap/>
            <w:vAlign w:val="center"/>
            <w:hideMark/>
          </w:tcPr>
          <w:p w14:paraId="4020916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989</w:t>
            </w:r>
          </w:p>
        </w:tc>
        <w:tc>
          <w:tcPr>
            <w:tcW w:w="717" w:type="dxa"/>
            <w:tcBorders>
              <w:top w:val="nil"/>
              <w:left w:val="nil"/>
              <w:bottom w:val="single" w:sz="4" w:space="0" w:color="000000"/>
              <w:right w:val="single" w:sz="4" w:space="0" w:color="000000"/>
            </w:tcBorders>
            <w:shd w:val="clear" w:color="F7FAFC" w:fill="F7FAFC"/>
            <w:noWrap/>
            <w:vAlign w:val="center"/>
            <w:hideMark/>
          </w:tcPr>
          <w:p w14:paraId="3C76D451"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1,058</w:t>
            </w:r>
          </w:p>
        </w:tc>
        <w:tc>
          <w:tcPr>
            <w:tcW w:w="717" w:type="dxa"/>
            <w:tcBorders>
              <w:top w:val="nil"/>
              <w:left w:val="nil"/>
              <w:bottom w:val="single" w:sz="4" w:space="0" w:color="000000"/>
              <w:right w:val="single" w:sz="4" w:space="0" w:color="000000"/>
            </w:tcBorders>
            <w:shd w:val="clear" w:color="F7FAFC" w:fill="F7FAFC"/>
            <w:noWrap/>
            <w:vAlign w:val="center"/>
            <w:hideMark/>
          </w:tcPr>
          <w:p w14:paraId="35BBEE3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1,206</w:t>
            </w:r>
          </w:p>
        </w:tc>
        <w:tc>
          <w:tcPr>
            <w:tcW w:w="717" w:type="dxa"/>
            <w:tcBorders>
              <w:top w:val="nil"/>
              <w:left w:val="nil"/>
              <w:bottom w:val="single" w:sz="4" w:space="0" w:color="000000"/>
              <w:right w:val="single" w:sz="4" w:space="0" w:color="000000"/>
            </w:tcBorders>
            <w:shd w:val="clear" w:color="F7FAFC" w:fill="F7FAFC"/>
            <w:noWrap/>
            <w:vAlign w:val="center"/>
            <w:hideMark/>
          </w:tcPr>
          <w:p w14:paraId="05AF403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1,337</w:t>
            </w:r>
          </w:p>
        </w:tc>
        <w:tc>
          <w:tcPr>
            <w:tcW w:w="717" w:type="dxa"/>
            <w:tcBorders>
              <w:top w:val="nil"/>
              <w:left w:val="nil"/>
              <w:bottom w:val="single" w:sz="4" w:space="0" w:color="000000"/>
              <w:right w:val="single" w:sz="4" w:space="0" w:color="000000"/>
            </w:tcBorders>
            <w:shd w:val="clear" w:color="F7FAFC" w:fill="F7FAFC"/>
            <w:noWrap/>
            <w:vAlign w:val="center"/>
            <w:hideMark/>
          </w:tcPr>
          <w:p w14:paraId="2F3FAF0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1,454</w:t>
            </w:r>
          </w:p>
        </w:tc>
        <w:tc>
          <w:tcPr>
            <w:tcW w:w="717" w:type="dxa"/>
            <w:tcBorders>
              <w:top w:val="nil"/>
              <w:left w:val="nil"/>
              <w:bottom w:val="single" w:sz="4" w:space="0" w:color="000000"/>
              <w:right w:val="single" w:sz="4" w:space="0" w:color="000000"/>
            </w:tcBorders>
            <w:shd w:val="clear" w:color="F7FAFC" w:fill="F7FAFC"/>
            <w:noWrap/>
            <w:vAlign w:val="center"/>
            <w:hideMark/>
          </w:tcPr>
          <w:p w14:paraId="392ACE6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1,565</w:t>
            </w:r>
          </w:p>
        </w:tc>
        <w:tc>
          <w:tcPr>
            <w:tcW w:w="717" w:type="dxa"/>
            <w:tcBorders>
              <w:top w:val="nil"/>
              <w:left w:val="nil"/>
              <w:bottom w:val="single" w:sz="4" w:space="0" w:color="000000"/>
              <w:right w:val="single" w:sz="4" w:space="0" w:color="000000"/>
            </w:tcBorders>
            <w:shd w:val="clear" w:color="F7FAFC" w:fill="F7FAFC"/>
            <w:noWrap/>
            <w:vAlign w:val="center"/>
            <w:hideMark/>
          </w:tcPr>
          <w:p w14:paraId="3A3E037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1,696</w:t>
            </w:r>
          </w:p>
        </w:tc>
        <w:tc>
          <w:tcPr>
            <w:tcW w:w="717" w:type="dxa"/>
            <w:tcBorders>
              <w:top w:val="nil"/>
              <w:left w:val="nil"/>
              <w:bottom w:val="single" w:sz="4" w:space="0" w:color="000000"/>
              <w:right w:val="single" w:sz="4" w:space="0" w:color="000000"/>
            </w:tcBorders>
            <w:shd w:val="clear" w:color="F7FAFC" w:fill="F7FAFC"/>
            <w:noWrap/>
            <w:vAlign w:val="center"/>
            <w:hideMark/>
          </w:tcPr>
          <w:p w14:paraId="7818AEB8"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1,854</w:t>
            </w:r>
          </w:p>
        </w:tc>
        <w:tc>
          <w:tcPr>
            <w:tcW w:w="717" w:type="dxa"/>
            <w:tcBorders>
              <w:top w:val="nil"/>
              <w:left w:val="nil"/>
              <w:bottom w:val="single" w:sz="4" w:space="0" w:color="000000"/>
              <w:right w:val="single" w:sz="4" w:space="0" w:color="000000"/>
            </w:tcBorders>
            <w:shd w:val="clear" w:color="F7FAFC" w:fill="F7FAFC"/>
            <w:noWrap/>
            <w:vAlign w:val="center"/>
            <w:hideMark/>
          </w:tcPr>
          <w:p w14:paraId="65F3C0A7"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2,026</w:t>
            </w:r>
          </w:p>
        </w:tc>
        <w:tc>
          <w:tcPr>
            <w:tcW w:w="717" w:type="dxa"/>
            <w:tcBorders>
              <w:top w:val="nil"/>
              <w:left w:val="nil"/>
              <w:bottom w:val="single" w:sz="4" w:space="0" w:color="000000"/>
              <w:right w:val="single" w:sz="4" w:space="0" w:color="000000"/>
            </w:tcBorders>
            <w:shd w:val="clear" w:color="F7FAFC" w:fill="F7FAFC"/>
            <w:noWrap/>
            <w:vAlign w:val="center"/>
            <w:hideMark/>
          </w:tcPr>
          <w:p w14:paraId="5332B197"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2,240</w:t>
            </w:r>
          </w:p>
        </w:tc>
        <w:tc>
          <w:tcPr>
            <w:tcW w:w="671" w:type="dxa"/>
            <w:tcBorders>
              <w:top w:val="nil"/>
              <w:left w:val="nil"/>
              <w:bottom w:val="single" w:sz="4" w:space="0" w:color="000000"/>
              <w:right w:val="single" w:sz="4" w:space="0" w:color="auto"/>
            </w:tcBorders>
            <w:shd w:val="clear" w:color="F7FAFC" w:fill="F7FAFC"/>
            <w:noWrap/>
            <w:vAlign w:val="center"/>
            <w:hideMark/>
          </w:tcPr>
          <w:p w14:paraId="5AD3CF69"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2,702</w:t>
            </w:r>
          </w:p>
        </w:tc>
      </w:tr>
      <w:tr w:rsidR="00D47C54" w:rsidRPr="00D47C54" w14:paraId="2D6B7023" w14:textId="77777777" w:rsidTr="00D767EF">
        <w:trPr>
          <w:trHeight w:val="300"/>
        </w:trPr>
        <w:tc>
          <w:tcPr>
            <w:tcW w:w="3402" w:type="dxa"/>
            <w:tcBorders>
              <w:top w:val="nil"/>
              <w:left w:val="single" w:sz="4" w:space="0" w:color="auto"/>
              <w:bottom w:val="single" w:sz="4" w:space="0" w:color="000000"/>
              <w:right w:val="single" w:sz="4" w:space="0" w:color="000000"/>
            </w:tcBorders>
            <w:noWrap/>
            <w:vAlign w:val="center"/>
            <w:hideMark/>
          </w:tcPr>
          <w:p w14:paraId="56AD5C5E"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GDP (billions of US dollars)</w:t>
            </w:r>
          </w:p>
        </w:tc>
        <w:tc>
          <w:tcPr>
            <w:tcW w:w="717" w:type="dxa"/>
            <w:tcBorders>
              <w:top w:val="nil"/>
              <w:left w:val="nil"/>
              <w:bottom w:val="single" w:sz="4" w:space="0" w:color="000000"/>
              <w:right w:val="single" w:sz="4" w:space="0" w:color="000000"/>
            </w:tcBorders>
            <w:noWrap/>
            <w:vAlign w:val="center"/>
            <w:hideMark/>
          </w:tcPr>
          <w:p w14:paraId="53BD76F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14</w:t>
            </w:r>
          </w:p>
        </w:tc>
        <w:tc>
          <w:tcPr>
            <w:tcW w:w="717" w:type="dxa"/>
            <w:tcBorders>
              <w:top w:val="nil"/>
              <w:left w:val="nil"/>
              <w:bottom w:val="single" w:sz="4" w:space="0" w:color="000000"/>
              <w:right w:val="single" w:sz="4" w:space="0" w:color="000000"/>
            </w:tcBorders>
            <w:noWrap/>
            <w:vAlign w:val="center"/>
            <w:hideMark/>
          </w:tcPr>
          <w:p w14:paraId="26899C07"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16</w:t>
            </w:r>
          </w:p>
        </w:tc>
        <w:tc>
          <w:tcPr>
            <w:tcW w:w="717" w:type="dxa"/>
            <w:tcBorders>
              <w:top w:val="nil"/>
              <w:left w:val="nil"/>
              <w:bottom w:val="single" w:sz="4" w:space="0" w:color="000000"/>
              <w:right w:val="single" w:sz="4" w:space="0" w:color="000000"/>
            </w:tcBorders>
            <w:noWrap/>
            <w:vAlign w:val="center"/>
            <w:hideMark/>
          </w:tcPr>
          <w:p w14:paraId="08337829"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19</w:t>
            </w:r>
          </w:p>
        </w:tc>
        <w:tc>
          <w:tcPr>
            <w:tcW w:w="717" w:type="dxa"/>
            <w:tcBorders>
              <w:top w:val="nil"/>
              <w:left w:val="nil"/>
              <w:bottom w:val="single" w:sz="4" w:space="0" w:color="000000"/>
              <w:right w:val="single" w:sz="4" w:space="0" w:color="000000"/>
            </w:tcBorders>
            <w:noWrap/>
            <w:vAlign w:val="center"/>
            <w:hideMark/>
          </w:tcPr>
          <w:p w14:paraId="3995788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21</w:t>
            </w:r>
          </w:p>
        </w:tc>
        <w:tc>
          <w:tcPr>
            <w:tcW w:w="717" w:type="dxa"/>
            <w:tcBorders>
              <w:top w:val="nil"/>
              <w:left w:val="nil"/>
              <w:bottom w:val="single" w:sz="4" w:space="0" w:color="000000"/>
              <w:right w:val="single" w:sz="4" w:space="0" w:color="000000"/>
            </w:tcBorders>
            <w:noWrap/>
            <w:vAlign w:val="center"/>
            <w:hideMark/>
          </w:tcPr>
          <w:p w14:paraId="363E1017"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23</w:t>
            </w:r>
          </w:p>
        </w:tc>
        <w:tc>
          <w:tcPr>
            <w:tcW w:w="717" w:type="dxa"/>
            <w:tcBorders>
              <w:top w:val="nil"/>
              <w:left w:val="nil"/>
              <w:bottom w:val="single" w:sz="4" w:space="0" w:color="000000"/>
              <w:right w:val="single" w:sz="4" w:space="0" w:color="000000"/>
            </w:tcBorders>
            <w:noWrap/>
            <w:vAlign w:val="center"/>
            <w:hideMark/>
          </w:tcPr>
          <w:p w14:paraId="05FC008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24</w:t>
            </w:r>
          </w:p>
        </w:tc>
        <w:tc>
          <w:tcPr>
            <w:tcW w:w="717" w:type="dxa"/>
            <w:tcBorders>
              <w:top w:val="nil"/>
              <w:left w:val="nil"/>
              <w:bottom w:val="single" w:sz="4" w:space="0" w:color="000000"/>
              <w:right w:val="single" w:sz="4" w:space="0" w:color="000000"/>
            </w:tcBorders>
            <w:noWrap/>
            <w:vAlign w:val="center"/>
            <w:hideMark/>
          </w:tcPr>
          <w:p w14:paraId="2FADCB8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26</w:t>
            </w:r>
          </w:p>
        </w:tc>
        <w:tc>
          <w:tcPr>
            <w:tcW w:w="717" w:type="dxa"/>
            <w:tcBorders>
              <w:top w:val="nil"/>
              <w:left w:val="nil"/>
              <w:bottom w:val="single" w:sz="4" w:space="0" w:color="000000"/>
              <w:right w:val="single" w:sz="4" w:space="0" w:color="000000"/>
            </w:tcBorders>
            <w:noWrap/>
            <w:vAlign w:val="center"/>
            <w:hideMark/>
          </w:tcPr>
          <w:p w14:paraId="3966F87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27</w:t>
            </w:r>
          </w:p>
        </w:tc>
        <w:tc>
          <w:tcPr>
            <w:tcW w:w="717" w:type="dxa"/>
            <w:tcBorders>
              <w:top w:val="nil"/>
              <w:left w:val="nil"/>
              <w:bottom w:val="single" w:sz="4" w:space="0" w:color="000000"/>
              <w:right w:val="single" w:sz="4" w:space="0" w:color="000000"/>
            </w:tcBorders>
            <w:noWrap/>
            <w:vAlign w:val="center"/>
            <w:hideMark/>
          </w:tcPr>
          <w:p w14:paraId="3E573DC2"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29</w:t>
            </w:r>
          </w:p>
        </w:tc>
        <w:tc>
          <w:tcPr>
            <w:tcW w:w="717" w:type="dxa"/>
            <w:tcBorders>
              <w:top w:val="nil"/>
              <w:left w:val="nil"/>
              <w:bottom w:val="single" w:sz="4" w:space="0" w:color="000000"/>
              <w:right w:val="single" w:sz="4" w:space="0" w:color="000000"/>
            </w:tcBorders>
            <w:noWrap/>
            <w:vAlign w:val="center"/>
            <w:hideMark/>
          </w:tcPr>
          <w:p w14:paraId="33E9025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30</w:t>
            </w:r>
          </w:p>
        </w:tc>
        <w:tc>
          <w:tcPr>
            <w:tcW w:w="671" w:type="dxa"/>
            <w:tcBorders>
              <w:top w:val="nil"/>
              <w:left w:val="nil"/>
              <w:bottom w:val="single" w:sz="4" w:space="0" w:color="000000"/>
              <w:right w:val="single" w:sz="4" w:space="0" w:color="auto"/>
            </w:tcBorders>
            <w:noWrap/>
            <w:vAlign w:val="center"/>
            <w:hideMark/>
          </w:tcPr>
          <w:p w14:paraId="0D0C56D2"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35</w:t>
            </w:r>
          </w:p>
        </w:tc>
      </w:tr>
      <w:tr w:rsidR="00D47C54" w:rsidRPr="00D47C54" w14:paraId="0DBA0513" w14:textId="77777777" w:rsidTr="00D767EF">
        <w:trPr>
          <w:trHeight w:val="300"/>
        </w:trPr>
        <w:tc>
          <w:tcPr>
            <w:tcW w:w="3402" w:type="dxa"/>
            <w:tcBorders>
              <w:top w:val="nil"/>
              <w:left w:val="single" w:sz="4" w:space="0" w:color="auto"/>
              <w:bottom w:val="single" w:sz="4" w:space="0" w:color="000000"/>
              <w:right w:val="single" w:sz="4" w:space="0" w:color="000000"/>
            </w:tcBorders>
            <w:shd w:val="clear" w:color="F7FAFC" w:fill="F7FAFC"/>
            <w:noWrap/>
            <w:vAlign w:val="center"/>
            <w:hideMark/>
          </w:tcPr>
          <w:p w14:paraId="0DB9AAE3"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GDP per capita (US dollars)</w:t>
            </w:r>
          </w:p>
        </w:tc>
        <w:tc>
          <w:tcPr>
            <w:tcW w:w="717" w:type="dxa"/>
            <w:tcBorders>
              <w:top w:val="nil"/>
              <w:left w:val="nil"/>
              <w:bottom w:val="single" w:sz="4" w:space="0" w:color="000000"/>
              <w:right w:val="single" w:sz="4" w:space="0" w:color="000000"/>
            </w:tcBorders>
            <w:shd w:val="clear" w:color="F7FAFC" w:fill="F7FAFC"/>
            <w:noWrap/>
            <w:vAlign w:val="center"/>
            <w:hideMark/>
          </w:tcPr>
          <w:p w14:paraId="26DD7479"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457.0</w:t>
            </w:r>
          </w:p>
        </w:tc>
        <w:tc>
          <w:tcPr>
            <w:tcW w:w="717" w:type="dxa"/>
            <w:tcBorders>
              <w:top w:val="nil"/>
              <w:left w:val="nil"/>
              <w:bottom w:val="single" w:sz="4" w:space="0" w:color="000000"/>
              <w:right w:val="single" w:sz="4" w:space="0" w:color="000000"/>
            </w:tcBorders>
            <w:shd w:val="clear" w:color="F7FAFC" w:fill="F7FAFC"/>
            <w:noWrap/>
            <w:vAlign w:val="center"/>
            <w:hideMark/>
          </w:tcPr>
          <w:p w14:paraId="18CA0DA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504.0</w:t>
            </w:r>
          </w:p>
        </w:tc>
        <w:tc>
          <w:tcPr>
            <w:tcW w:w="717" w:type="dxa"/>
            <w:tcBorders>
              <w:top w:val="nil"/>
              <w:left w:val="nil"/>
              <w:bottom w:val="single" w:sz="4" w:space="0" w:color="000000"/>
              <w:right w:val="single" w:sz="4" w:space="0" w:color="000000"/>
            </w:tcBorders>
            <w:shd w:val="clear" w:color="F7FAFC" w:fill="F7FAFC"/>
            <w:noWrap/>
            <w:vAlign w:val="center"/>
            <w:hideMark/>
          </w:tcPr>
          <w:p w14:paraId="1A7B0615"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573.0</w:t>
            </w:r>
          </w:p>
        </w:tc>
        <w:tc>
          <w:tcPr>
            <w:tcW w:w="717" w:type="dxa"/>
            <w:tcBorders>
              <w:top w:val="nil"/>
              <w:left w:val="nil"/>
              <w:bottom w:val="single" w:sz="4" w:space="0" w:color="000000"/>
              <w:right w:val="single" w:sz="4" w:space="0" w:color="000000"/>
            </w:tcBorders>
            <w:shd w:val="clear" w:color="F7FAFC" w:fill="F7FAFC"/>
            <w:noWrap/>
            <w:vAlign w:val="center"/>
            <w:hideMark/>
          </w:tcPr>
          <w:p w14:paraId="7CA50680"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617.0</w:t>
            </w:r>
          </w:p>
        </w:tc>
        <w:tc>
          <w:tcPr>
            <w:tcW w:w="717" w:type="dxa"/>
            <w:tcBorders>
              <w:top w:val="nil"/>
              <w:left w:val="nil"/>
              <w:bottom w:val="single" w:sz="4" w:space="0" w:color="000000"/>
              <w:right w:val="single" w:sz="4" w:space="0" w:color="000000"/>
            </w:tcBorders>
            <w:shd w:val="clear" w:color="F7FAFC" w:fill="F7FAFC"/>
            <w:noWrap/>
            <w:vAlign w:val="center"/>
            <w:hideMark/>
          </w:tcPr>
          <w:p w14:paraId="61F7698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653.0</w:t>
            </w:r>
          </w:p>
        </w:tc>
        <w:tc>
          <w:tcPr>
            <w:tcW w:w="717" w:type="dxa"/>
            <w:tcBorders>
              <w:top w:val="nil"/>
              <w:left w:val="nil"/>
              <w:bottom w:val="single" w:sz="4" w:space="0" w:color="000000"/>
              <w:right w:val="single" w:sz="4" w:space="0" w:color="000000"/>
            </w:tcBorders>
            <w:shd w:val="clear" w:color="F7FAFC" w:fill="F7FAFC"/>
            <w:noWrap/>
            <w:vAlign w:val="center"/>
            <w:hideMark/>
          </w:tcPr>
          <w:p w14:paraId="6B97C118"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681.0</w:t>
            </w:r>
          </w:p>
        </w:tc>
        <w:tc>
          <w:tcPr>
            <w:tcW w:w="717" w:type="dxa"/>
            <w:tcBorders>
              <w:top w:val="nil"/>
              <w:left w:val="nil"/>
              <w:bottom w:val="single" w:sz="4" w:space="0" w:color="000000"/>
              <w:right w:val="single" w:sz="4" w:space="0" w:color="000000"/>
            </w:tcBorders>
            <w:shd w:val="clear" w:color="F7FAFC" w:fill="F7FAFC"/>
            <w:noWrap/>
            <w:vAlign w:val="center"/>
            <w:hideMark/>
          </w:tcPr>
          <w:p w14:paraId="37D7B53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705.0</w:t>
            </w:r>
          </w:p>
        </w:tc>
        <w:tc>
          <w:tcPr>
            <w:tcW w:w="717" w:type="dxa"/>
            <w:tcBorders>
              <w:top w:val="nil"/>
              <w:left w:val="nil"/>
              <w:bottom w:val="single" w:sz="4" w:space="0" w:color="000000"/>
              <w:right w:val="single" w:sz="4" w:space="0" w:color="000000"/>
            </w:tcBorders>
            <w:shd w:val="clear" w:color="F7FAFC" w:fill="F7FAFC"/>
            <w:noWrap/>
            <w:vAlign w:val="center"/>
            <w:hideMark/>
          </w:tcPr>
          <w:p w14:paraId="695111B8"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723.0</w:t>
            </w:r>
          </w:p>
        </w:tc>
        <w:tc>
          <w:tcPr>
            <w:tcW w:w="717" w:type="dxa"/>
            <w:tcBorders>
              <w:top w:val="nil"/>
              <w:left w:val="nil"/>
              <w:bottom w:val="single" w:sz="4" w:space="0" w:color="000000"/>
              <w:right w:val="single" w:sz="4" w:space="0" w:color="000000"/>
            </w:tcBorders>
            <w:shd w:val="clear" w:color="F7FAFC" w:fill="F7FAFC"/>
            <w:noWrap/>
            <w:vAlign w:val="center"/>
            <w:hideMark/>
          </w:tcPr>
          <w:p w14:paraId="6621A5E5"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736.0</w:t>
            </w:r>
          </w:p>
        </w:tc>
        <w:tc>
          <w:tcPr>
            <w:tcW w:w="717" w:type="dxa"/>
            <w:tcBorders>
              <w:top w:val="nil"/>
              <w:left w:val="nil"/>
              <w:bottom w:val="single" w:sz="4" w:space="0" w:color="000000"/>
              <w:right w:val="single" w:sz="4" w:space="0" w:color="000000"/>
            </w:tcBorders>
            <w:shd w:val="clear" w:color="F7FAFC" w:fill="F7FAFC"/>
            <w:noWrap/>
            <w:vAlign w:val="center"/>
            <w:hideMark/>
          </w:tcPr>
          <w:p w14:paraId="33E62B2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756.0</w:t>
            </w:r>
          </w:p>
        </w:tc>
        <w:tc>
          <w:tcPr>
            <w:tcW w:w="671" w:type="dxa"/>
            <w:tcBorders>
              <w:top w:val="nil"/>
              <w:left w:val="nil"/>
              <w:bottom w:val="single" w:sz="4" w:space="0" w:color="000000"/>
              <w:right w:val="single" w:sz="4" w:space="0" w:color="auto"/>
            </w:tcBorders>
            <w:shd w:val="clear" w:color="F7FAFC" w:fill="F7FAFC"/>
            <w:noWrap/>
            <w:vAlign w:val="center"/>
            <w:hideMark/>
          </w:tcPr>
          <w:p w14:paraId="2012D675"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843.0</w:t>
            </w:r>
          </w:p>
        </w:tc>
      </w:tr>
      <w:tr w:rsidR="00D47C54" w:rsidRPr="00D47C54" w14:paraId="146259C5" w14:textId="77777777" w:rsidTr="00D767EF">
        <w:trPr>
          <w:trHeight w:val="300"/>
        </w:trPr>
        <w:tc>
          <w:tcPr>
            <w:tcW w:w="11243" w:type="dxa"/>
            <w:gridSpan w:val="12"/>
            <w:tcBorders>
              <w:top w:val="single" w:sz="4" w:space="0" w:color="000000"/>
              <w:left w:val="single" w:sz="4" w:space="0" w:color="auto"/>
              <w:bottom w:val="single" w:sz="4" w:space="0" w:color="000000"/>
              <w:right w:val="single" w:sz="4" w:space="0" w:color="auto"/>
            </w:tcBorders>
            <w:shd w:val="clear" w:color="EBF8FF" w:fill="EBF8FF"/>
            <w:noWrap/>
            <w:vAlign w:val="center"/>
            <w:hideMark/>
          </w:tcPr>
          <w:p w14:paraId="346150B7" w14:textId="77777777" w:rsidR="00D47C54" w:rsidRPr="0002513C" w:rsidRDefault="00D47C54" w:rsidP="00D47C54">
            <w:pPr>
              <w:spacing w:after="0" w:line="240" w:lineRule="auto"/>
              <w:rPr>
                <w:rFonts w:ascii="Times New Roman" w:eastAsia="Times New Roman" w:hAnsi="Times New Roman" w:cs="Times New Roman"/>
                <w:b/>
                <w:bCs/>
                <w:color w:val="1F497D"/>
                <w:sz w:val="20"/>
                <w:szCs w:val="20"/>
                <w:lang w:eastAsia="en-IN" w:bidi="bn-IN"/>
              </w:rPr>
            </w:pPr>
            <w:r w:rsidRPr="0002513C">
              <w:rPr>
                <w:rFonts w:ascii="Times New Roman" w:eastAsia="Times New Roman" w:hAnsi="Times New Roman" w:cs="Times New Roman"/>
                <w:b/>
                <w:bCs/>
                <w:color w:val="1F497D"/>
                <w:sz w:val="20"/>
                <w:szCs w:val="20"/>
                <w:lang w:eastAsia="en-IN" w:bidi="bn-IN"/>
              </w:rPr>
              <w:t>Investment and savings (Percent of GDP)</w:t>
            </w:r>
          </w:p>
        </w:tc>
      </w:tr>
      <w:tr w:rsidR="00D47C54" w:rsidRPr="00D47C54" w14:paraId="61B916E3" w14:textId="77777777" w:rsidTr="00D767EF">
        <w:trPr>
          <w:trHeight w:val="300"/>
        </w:trPr>
        <w:tc>
          <w:tcPr>
            <w:tcW w:w="3402" w:type="dxa"/>
            <w:tcBorders>
              <w:top w:val="nil"/>
              <w:left w:val="single" w:sz="4" w:space="0" w:color="auto"/>
              <w:bottom w:val="single" w:sz="4" w:space="0" w:color="000000"/>
              <w:right w:val="single" w:sz="4" w:space="0" w:color="000000"/>
            </w:tcBorders>
            <w:shd w:val="clear" w:color="F7FAFC" w:fill="F7FAFC"/>
            <w:noWrap/>
            <w:vAlign w:val="center"/>
            <w:hideMark/>
          </w:tcPr>
          <w:p w14:paraId="1C1A9384"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Gross domestic investment</w:t>
            </w:r>
          </w:p>
        </w:tc>
        <w:tc>
          <w:tcPr>
            <w:tcW w:w="717" w:type="dxa"/>
            <w:tcBorders>
              <w:top w:val="nil"/>
              <w:left w:val="nil"/>
              <w:bottom w:val="single" w:sz="4" w:space="0" w:color="000000"/>
              <w:right w:val="single" w:sz="4" w:space="0" w:color="000000"/>
            </w:tcBorders>
            <w:shd w:val="clear" w:color="F7FAFC" w:fill="F7FAFC"/>
            <w:noWrap/>
            <w:vAlign w:val="center"/>
            <w:hideMark/>
          </w:tcPr>
          <w:p w14:paraId="4299E43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44.8</w:t>
            </w:r>
          </w:p>
        </w:tc>
        <w:tc>
          <w:tcPr>
            <w:tcW w:w="717" w:type="dxa"/>
            <w:tcBorders>
              <w:top w:val="nil"/>
              <w:left w:val="nil"/>
              <w:bottom w:val="single" w:sz="4" w:space="0" w:color="000000"/>
              <w:right w:val="single" w:sz="4" w:space="0" w:color="000000"/>
            </w:tcBorders>
            <w:shd w:val="clear" w:color="F7FAFC" w:fill="F7FAFC"/>
            <w:noWrap/>
            <w:vAlign w:val="center"/>
            <w:hideMark/>
          </w:tcPr>
          <w:p w14:paraId="24D56488"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40.4</w:t>
            </w:r>
          </w:p>
        </w:tc>
        <w:tc>
          <w:tcPr>
            <w:tcW w:w="717" w:type="dxa"/>
            <w:tcBorders>
              <w:top w:val="nil"/>
              <w:left w:val="nil"/>
              <w:bottom w:val="single" w:sz="4" w:space="0" w:color="000000"/>
              <w:right w:val="single" w:sz="4" w:space="0" w:color="000000"/>
            </w:tcBorders>
            <w:shd w:val="clear" w:color="F7FAFC" w:fill="F7FAFC"/>
            <w:noWrap/>
            <w:vAlign w:val="center"/>
            <w:hideMark/>
          </w:tcPr>
          <w:p w14:paraId="297E789E"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43.2</w:t>
            </w:r>
          </w:p>
        </w:tc>
        <w:tc>
          <w:tcPr>
            <w:tcW w:w="717" w:type="dxa"/>
            <w:tcBorders>
              <w:top w:val="nil"/>
              <w:left w:val="nil"/>
              <w:bottom w:val="single" w:sz="4" w:space="0" w:color="000000"/>
              <w:right w:val="single" w:sz="4" w:space="0" w:color="000000"/>
            </w:tcBorders>
            <w:shd w:val="clear" w:color="F7FAFC" w:fill="F7FAFC"/>
            <w:noWrap/>
            <w:vAlign w:val="center"/>
            <w:hideMark/>
          </w:tcPr>
          <w:p w14:paraId="73E61C9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19.5</w:t>
            </w:r>
          </w:p>
        </w:tc>
        <w:tc>
          <w:tcPr>
            <w:tcW w:w="717" w:type="dxa"/>
            <w:tcBorders>
              <w:top w:val="nil"/>
              <w:left w:val="nil"/>
              <w:bottom w:val="single" w:sz="4" w:space="0" w:color="000000"/>
              <w:right w:val="single" w:sz="4" w:space="0" w:color="000000"/>
            </w:tcBorders>
            <w:shd w:val="clear" w:color="F7FAFC" w:fill="F7FAFC"/>
            <w:noWrap/>
            <w:vAlign w:val="center"/>
            <w:hideMark/>
          </w:tcPr>
          <w:p w14:paraId="5DE49D5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17.7</w:t>
            </w:r>
          </w:p>
        </w:tc>
        <w:tc>
          <w:tcPr>
            <w:tcW w:w="717" w:type="dxa"/>
            <w:tcBorders>
              <w:top w:val="nil"/>
              <w:left w:val="nil"/>
              <w:bottom w:val="single" w:sz="4" w:space="0" w:color="000000"/>
              <w:right w:val="single" w:sz="4" w:space="0" w:color="000000"/>
            </w:tcBorders>
            <w:shd w:val="clear" w:color="F7FAFC" w:fill="F7FAFC"/>
            <w:noWrap/>
            <w:vAlign w:val="center"/>
            <w:hideMark/>
          </w:tcPr>
          <w:p w14:paraId="2675A2A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20.2</w:t>
            </w:r>
          </w:p>
        </w:tc>
        <w:tc>
          <w:tcPr>
            <w:tcW w:w="717" w:type="dxa"/>
            <w:tcBorders>
              <w:top w:val="nil"/>
              <w:left w:val="nil"/>
              <w:bottom w:val="single" w:sz="4" w:space="0" w:color="000000"/>
              <w:right w:val="single" w:sz="4" w:space="0" w:color="000000"/>
            </w:tcBorders>
            <w:shd w:val="clear" w:color="F7FAFC" w:fill="F7FAFC"/>
            <w:noWrap/>
            <w:vAlign w:val="center"/>
            <w:hideMark/>
          </w:tcPr>
          <w:p w14:paraId="09EE6892"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44.5</w:t>
            </w:r>
          </w:p>
        </w:tc>
        <w:tc>
          <w:tcPr>
            <w:tcW w:w="717" w:type="dxa"/>
            <w:tcBorders>
              <w:top w:val="nil"/>
              <w:left w:val="nil"/>
              <w:bottom w:val="single" w:sz="4" w:space="0" w:color="000000"/>
              <w:right w:val="single" w:sz="4" w:space="0" w:color="000000"/>
            </w:tcBorders>
            <w:shd w:val="clear" w:color="F7FAFC" w:fill="F7FAFC"/>
            <w:noWrap/>
            <w:vAlign w:val="center"/>
            <w:hideMark/>
          </w:tcPr>
          <w:p w14:paraId="1A2E527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42.6</w:t>
            </w:r>
          </w:p>
        </w:tc>
        <w:tc>
          <w:tcPr>
            <w:tcW w:w="717" w:type="dxa"/>
            <w:tcBorders>
              <w:top w:val="nil"/>
              <w:left w:val="nil"/>
              <w:bottom w:val="single" w:sz="4" w:space="0" w:color="000000"/>
              <w:right w:val="single" w:sz="4" w:space="0" w:color="000000"/>
            </w:tcBorders>
            <w:shd w:val="clear" w:color="F7FAFC" w:fill="F7FAFC"/>
            <w:noWrap/>
            <w:vAlign w:val="center"/>
            <w:hideMark/>
          </w:tcPr>
          <w:p w14:paraId="7E1ED6F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37.9</w:t>
            </w:r>
          </w:p>
        </w:tc>
        <w:tc>
          <w:tcPr>
            <w:tcW w:w="717" w:type="dxa"/>
            <w:tcBorders>
              <w:top w:val="nil"/>
              <w:left w:val="nil"/>
              <w:bottom w:val="single" w:sz="4" w:space="0" w:color="000000"/>
              <w:right w:val="single" w:sz="4" w:space="0" w:color="000000"/>
            </w:tcBorders>
            <w:shd w:val="clear" w:color="F7FAFC" w:fill="F7FAFC"/>
            <w:noWrap/>
            <w:vAlign w:val="center"/>
            <w:hideMark/>
          </w:tcPr>
          <w:p w14:paraId="0029372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33.5</w:t>
            </w:r>
          </w:p>
        </w:tc>
        <w:tc>
          <w:tcPr>
            <w:tcW w:w="671" w:type="dxa"/>
            <w:tcBorders>
              <w:top w:val="nil"/>
              <w:left w:val="nil"/>
              <w:bottom w:val="single" w:sz="4" w:space="0" w:color="000000"/>
              <w:right w:val="single" w:sz="4" w:space="0" w:color="auto"/>
            </w:tcBorders>
            <w:shd w:val="clear" w:color="F7FAFC" w:fill="F7FAFC"/>
            <w:noWrap/>
            <w:vAlign w:val="center"/>
            <w:hideMark/>
          </w:tcPr>
          <w:p w14:paraId="48362F15"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22.8</w:t>
            </w:r>
          </w:p>
        </w:tc>
      </w:tr>
      <w:tr w:rsidR="00D47C54" w:rsidRPr="00D47C54" w14:paraId="71B213E2" w14:textId="77777777" w:rsidTr="00D767EF">
        <w:trPr>
          <w:trHeight w:val="300"/>
        </w:trPr>
        <w:tc>
          <w:tcPr>
            <w:tcW w:w="3402" w:type="dxa"/>
            <w:tcBorders>
              <w:top w:val="nil"/>
              <w:left w:val="single" w:sz="4" w:space="0" w:color="auto"/>
              <w:bottom w:val="single" w:sz="4" w:space="0" w:color="000000"/>
              <w:right w:val="single" w:sz="4" w:space="0" w:color="000000"/>
            </w:tcBorders>
            <w:noWrap/>
            <w:vAlign w:val="center"/>
            <w:hideMark/>
          </w:tcPr>
          <w:p w14:paraId="14AFFE06"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Gross domestic savings, excl. grants</w:t>
            </w:r>
          </w:p>
        </w:tc>
        <w:tc>
          <w:tcPr>
            <w:tcW w:w="717" w:type="dxa"/>
            <w:tcBorders>
              <w:top w:val="nil"/>
              <w:left w:val="nil"/>
              <w:bottom w:val="single" w:sz="4" w:space="0" w:color="000000"/>
              <w:right w:val="single" w:sz="4" w:space="0" w:color="000000"/>
            </w:tcBorders>
            <w:noWrap/>
            <w:vAlign w:val="center"/>
            <w:hideMark/>
          </w:tcPr>
          <w:p w14:paraId="3EB0F3D0"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18.6</w:t>
            </w:r>
          </w:p>
        </w:tc>
        <w:tc>
          <w:tcPr>
            <w:tcW w:w="717" w:type="dxa"/>
            <w:tcBorders>
              <w:top w:val="nil"/>
              <w:left w:val="nil"/>
              <w:bottom w:val="single" w:sz="4" w:space="0" w:color="000000"/>
              <w:right w:val="single" w:sz="4" w:space="0" w:color="000000"/>
            </w:tcBorders>
            <w:noWrap/>
            <w:vAlign w:val="center"/>
            <w:hideMark/>
          </w:tcPr>
          <w:p w14:paraId="25863EE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20.0</w:t>
            </w:r>
          </w:p>
        </w:tc>
        <w:tc>
          <w:tcPr>
            <w:tcW w:w="717" w:type="dxa"/>
            <w:tcBorders>
              <w:top w:val="nil"/>
              <w:left w:val="nil"/>
              <w:bottom w:val="single" w:sz="4" w:space="0" w:color="000000"/>
              <w:right w:val="single" w:sz="4" w:space="0" w:color="000000"/>
            </w:tcBorders>
            <w:noWrap/>
            <w:vAlign w:val="center"/>
            <w:hideMark/>
          </w:tcPr>
          <w:p w14:paraId="2A28745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9.5</w:t>
            </w:r>
          </w:p>
        </w:tc>
        <w:tc>
          <w:tcPr>
            <w:tcW w:w="717" w:type="dxa"/>
            <w:tcBorders>
              <w:top w:val="nil"/>
              <w:left w:val="nil"/>
              <w:bottom w:val="single" w:sz="4" w:space="0" w:color="000000"/>
              <w:right w:val="single" w:sz="4" w:space="0" w:color="000000"/>
            </w:tcBorders>
            <w:noWrap/>
            <w:vAlign w:val="center"/>
            <w:hideMark/>
          </w:tcPr>
          <w:p w14:paraId="6D05206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9.0</w:t>
            </w:r>
          </w:p>
        </w:tc>
        <w:tc>
          <w:tcPr>
            <w:tcW w:w="717" w:type="dxa"/>
            <w:tcBorders>
              <w:top w:val="nil"/>
              <w:left w:val="nil"/>
              <w:bottom w:val="single" w:sz="4" w:space="0" w:color="000000"/>
              <w:right w:val="single" w:sz="4" w:space="0" w:color="000000"/>
            </w:tcBorders>
            <w:noWrap/>
            <w:vAlign w:val="center"/>
            <w:hideMark/>
          </w:tcPr>
          <w:p w14:paraId="78B9CD1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6.7</w:t>
            </w:r>
          </w:p>
        </w:tc>
        <w:tc>
          <w:tcPr>
            <w:tcW w:w="717" w:type="dxa"/>
            <w:tcBorders>
              <w:top w:val="nil"/>
              <w:left w:val="nil"/>
              <w:bottom w:val="single" w:sz="4" w:space="0" w:color="000000"/>
              <w:right w:val="single" w:sz="4" w:space="0" w:color="000000"/>
            </w:tcBorders>
            <w:noWrap/>
            <w:vAlign w:val="center"/>
            <w:hideMark/>
          </w:tcPr>
          <w:p w14:paraId="0AFEB15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7.0</w:t>
            </w:r>
          </w:p>
        </w:tc>
        <w:tc>
          <w:tcPr>
            <w:tcW w:w="717" w:type="dxa"/>
            <w:tcBorders>
              <w:top w:val="nil"/>
              <w:left w:val="nil"/>
              <w:bottom w:val="single" w:sz="4" w:space="0" w:color="000000"/>
              <w:right w:val="single" w:sz="4" w:space="0" w:color="000000"/>
            </w:tcBorders>
            <w:noWrap/>
            <w:vAlign w:val="center"/>
            <w:hideMark/>
          </w:tcPr>
          <w:p w14:paraId="67E7494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12.2</w:t>
            </w:r>
          </w:p>
        </w:tc>
        <w:tc>
          <w:tcPr>
            <w:tcW w:w="717" w:type="dxa"/>
            <w:tcBorders>
              <w:top w:val="nil"/>
              <w:left w:val="nil"/>
              <w:bottom w:val="single" w:sz="4" w:space="0" w:color="000000"/>
              <w:right w:val="single" w:sz="4" w:space="0" w:color="000000"/>
            </w:tcBorders>
            <w:noWrap/>
            <w:vAlign w:val="center"/>
            <w:hideMark/>
          </w:tcPr>
          <w:p w14:paraId="2EF2F260"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9.1</w:t>
            </w:r>
          </w:p>
        </w:tc>
        <w:tc>
          <w:tcPr>
            <w:tcW w:w="717" w:type="dxa"/>
            <w:tcBorders>
              <w:top w:val="nil"/>
              <w:left w:val="nil"/>
              <w:bottom w:val="single" w:sz="4" w:space="0" w:color="000000"/>
              <w:right w:val="single" w:sz="4" w:space="0" w:color="000000"/>
            </w:tcBorders>
            <w:noWrap/>
            <w:vAlign w:val="center"/>
            <w:hideMark/>
          </w:tcPr>
          <w:p w14:paraId="39490E9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7.1</w:t>
            </w:r>
          </w:p>
        </w:tc>
        <w:tc>
          <w:tcPr>
            <w:tcW w:w="717" w:type="dxa"/>
            <w:tcBorders>
              <w:top w:val="nil"/>
              <w:left w:val="nil"/>
              <w:bottom w:val="single" w:sz="4" w:space="0" w:color="000000"/>
              <w:right w:val="single" w:sz="4" w:space="0" w:color="000000"/>
            </w:tcBorders>
            <w:noWrap/>
            <w:vAlign w:val="center"/>
            <w:hideMark/>
          </w:tcPr>
          <w:p w14:paraId="42C175C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7.8</w:t>
            </w:r>
          </w:p>
        </w:tc>
        <w:tc>
          <w:tcPr>
            <w:tcW w:w="671" w:type="dxa"/>
            <w:tcBorders>
              <w:top w:val="nil"/>
              <w:left w:val="nil"/>
              <w:bottom w:val="single" w:sz="4" w:space="0" w:color="000000"/>
              <w:right w:val="single" w:sz="4" w:space="0" w:color="auto"/>
            </w:tcBorders>
            <w:noWrap/>
            <w:vAlign w:val="center"/>
            <w:hideMark/>
          </w:tcPr>
          <w:p w14:paraId="12D0DCC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10.4</w:t>
            </w:r>
          </w:p>
        </w:tc>
      </w:tr>
      <w:tr w:rsidR="00D47C54" w:rsidRPr="00D47C54" w14:paraId="5545089F" w14:textId="77777777" w:rsidTr="00D767EF">
        <w:trPr>
          <w:trHeight w:val="300"/>
        </w:trPr>
        <w:tc>
          <w:tcPr>
            <w:tcW w:w="11243" w:type="dxa"/>
            <w:gridSpan w:val="12"/>
            <w:tcBorders>
              <w:top w:val="single" w:sz="4" w:space="0" w:color="000000"/>
              <w:left w:val="single" w:sz="4" w:space="0" w:color="auto"/>
              <w:bottom w:val="single" w:sz="4" w:space="0" w:color="000000"/>
              <w:right w:val="single" w:sz="4" w:space="0" w:color="auto"/>
            </w:tcBorders>
            <w:shd w:val="clear" w:color="EBF8FF" w:fill="EBF8FF"/>
            <w:noWrap/>
            <w:vAlign w:val="center"/>
            <w:hideMark/>
          </w:tcPr>
          <w:p w14:paraId="57B1A648" w14:textId="77777777" w:rsidR="00D47C54" w:rsidRPr="0002513C" w:rsidRDefault="00D47C54" w:rsidP="00D47C54">
            <w:pPr>
              <w:spacing w:after="0" w:line="240" w:lineRule="auto"/>
              <w:rPr>
                <w:rFonts w:ascii="Times New Roman" w:eastAsia="Times New Roman" w:hAnsi="Times New Roman" w:cs="Times New Roman"/>
                <w:b/>
                <w:bCs/>
                <w:color w:val="1F497D"/>
                <w:sz w:val="20"/>
                <w:szCs w:val="20"/>
                <w:lang w:eastAsia="en-IN" w:bidi="bn-IN"/>
              </w:rPr>
            </w:pPr>
            <w:r w:rsidRPr="0002513C">
              <w:rPr>
                <w:rFonts w:ascii="Times New Roman" w:eastAsia="Times New Roman" w:hAnsi="Times New Roman" w:cs="Times New Roman"/>
                <w:b/>
                <w:bCs/>
                <w:color w:val="1F497D"/>
                <w:sz w:val="20"/>
                <w:szCs w:val="20"/>
                <w:lang w:eastAsia="en-IN" w:bidi="bn-IN"/>
              </w:rPr>
              <w:t>Central government (Percent of GDP)</w:t>
            </w:r>
          </w:p>
        </w:tc>
      </w:tr>
      <w:tr w:rsidR="00D47C54" w:rsidRPr="00D47C54" w14:paraId="1F886DB5" w14:textId="77777777" w:rsidTr="00D767EF">
        <w:trPr>
          <w:trHeight w:val="300"/>
        </w:trPr>
        <w:tc>
          <w:tcPr>
            <w:tcW w:w="3402" w:type="dxa"/>
            <w:tcBorders>
              <w:top w:val="nil"/>
              <w:left w:val="single" w:sz="4" w:space="0" w:color="auto"/>
              <w:bottom w:val="single" w:sz="4" w:space="0" w:color="000000"/>
              <w:right w:val="single" w:sz="4" w:space="0" w:color="000000"/>
            </w:tcBorders>
            <w:noWrap/>
            <w:vAlign w:val="center"/>
            <w:hideMark/>
          </w:tcPr>
          <w:p w14:paraId="5468AE40"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Total revenue 1/</w:t>
            </w:r>
          </w:p>
        </w:tc>
        <w:tc>
          <w:tcPr>
            <w:tcW w:w="717" w:type="dxa"/>
            <w:tcBorders>
              <w:top w:val="nil"/>
              <w:left w:val="nil"/>
              <w:bottom w:val="single" w:sz="4" w:space="0" w:color="000000"/>
              <w:right w:val="single" w:sz="4" w:space="0" w:color="000000"/>
            </w:tcBorders>
            <w:noWrap/>
            <w:vAlign w:val="center"/>
            <w:hideMark/>
          </w:tcPr>
          <w:p w14:paraId="4EF1BC11"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23.8</w:t>
            </w:r>
          </w:p>
        </w:tc>
        <w:tc>
          <w:tcPr>
            <w:tcW w:w="717" w:type="dxa"/>
            <w:tcBorders>
              <w:top w:val="nil"/>
              <w:left w:val="nil"/>
              <w:bottom w:val="single" w:sz="4" w:space="0" w:color="000000"/>
              <w:right w:val="single" w:sz="4" w:space="0" w:color="000000"/>
            </w:tcBorders>
            <w:noWrap/>
            <w:vAlign w:val="center"/>
            <w:hideMark/>
          </w:tcPr>
          <w:p w14:paraId="2AC8CAD1"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25.1</w:t>
            </w:r>
          </w:p>
        </w:tc>
        <w:tc>
          <w:tcPr>
            <w:tcW w:w="717" w:type="dxa"/>
            <w:tcBorders>
              <w:top w:val="nil"/>
              <w:left w:val="nil"/>
              <w:bottom w:val="single" w:sz="4" w:space="0" w:color="000000"/>
              <w:right w:val="single" w:sz="4" w:space="0" w:color="000000"/>
            </w:tcBorders>
            <w:noWrap/>
            <w:vAlign w:val="center"/>
            <w:hideMark/>
          </w:tcPr>
          <w:p w14:paraId="74198A51"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23.7</w:t>
            </w:r>
          </w:p>
        </w:tc>
        <w:tc>
          <w:tcPr>
            <w:tcW w:w="717" w:type="dxa"/>
            <w:tcBorders>
              <w:top w:val="nil"/>
              <w:left w:val="nil"/>
              <w:bottom w:val="single" w:sz="4" w:space="0" w:color="000000"/>
              <w:right w:val="single" w:sz="4" w:space="0" w:color="000000"/>
            </w:tcBorders>
            <w:noWrap/>
            <w:vAlign w:val="center"/>
            <w:hideMark/>
          </w:tcPr>
          <w:p w14:paraId="12DC2FD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24.6</w:t>
            </w:r>
          </w:p>
        </w:tc>
        <w:tc>
          <w:tcPr>
            <w:tcW w:w="717" w:type="dxa"/>
            <w:tcBorders>
              <w:top w:val="nil"/>
              <w:left w:val="nil"/>
              <w:bottom w:val="single" w:sz="4" w:space="0" w:color="000000"/>
              <w:right w:val="single" w:sz="4" w:space="0" w:color="000000"/>
            </w:tcBorders>
            <w:noWrap/>
            <w:vAlign w:val="center"/>
            <w:hideMark/>
          </w:tcPr>
          <w:p w14:paraId="242388C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24.2</w:t>
            </w:r>
          </w:p>
        </w:tc>
        <w:tc>
          <w:tcPr>
            <w:tcW w:w="717" w:type="dxa"/>
            <w:tcBorders>
              <w:top w:val="nil"/>
              <w:left w:val="nil"/>
              <w:bottom w:val="single" w:sz="4" w:space="0" w:color="000000"/>
              <w:right w:val="single" w:sz="4" w:space="0" w:color="000000"/>
            </w:tcBorders>
            <w:noWrap/>
            <w:vAlign w:val="center"/>
            <w:hideMark/>
          </w:tcPr>
          <w:p w14:paraId="0243B71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22.2</w:t>
            </w:r>
          </w:p>
        </w:tc>
        <w:tc>
          <w:tcPr>
            <w:tcW w:w="717" w:type="dxa"/>
            <w:tcBorders>
              <w:top w:val="nil"/>
              <w:left w:val="nil"/>
              <w:bottom w:val="single" w:sz="4" w:space="0" w:color="000000"/>
              <w:right w:val="single" w:sz="4" w:space="0" w:color="000000"/>
            </w:tcBorders>
            <w:noWrap/>
            <w:vAlign w:val="center"/>
            <w:hideMark/>
          </w:tcPr>
          <w:p w14:paraId="7AD434B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22.4</w:t>
            </w:r>
          </w:p>
        </w:tc>
        <w:tc>
          <w:tcPr>
            <w:tcW w:w="717" w:type="dxa"/>
            <w:tcBorders>
              <w:top w:val="nil"/>
              <w:left w:val="nil"/>
              <w:bottom w:val="single" w:sz="4" w:space="0" w:color="000000"/>
              <w:right w:val="single" w:sz="4" w:space="0" w:color="000000"/>
            </w:tcBorders>
            <w:noWrap/>
            <w:vAlign w:val="center"/>
            <w:hideMark/>
          </w:tcPr>
          <w:p w14:paraId="39F81DC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22.5</w:t>
            </w:r>
          </w:p>
        </w:tc>
        <w:tc>
          <w:tcPr>
            <w:tcW w:w="717" w:type="dxa"/>
            <w:tcBorders>
              <w:top w:val="nil"/>
              <w:left w:val="nil"/>
              <w:bottom w:val="single" w:sz="4" w:space="0" w:color="000000"/>
              <w:right w:val="single" w:sz="4" w:space="0" w:color="000000"/>
            </w:tcBorders>
            <w:noWrap/>
            <w:vAlign w:val="center"/>
            <w:hideMark/>
          </w:tcPr>
          <w:p w14:paraId="7E9AB05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22.6</w:t>
            </w:r>
          </w:p>
        </w:tc>
        <w:tc>
          <w:tcPr>
            <w:tcW w:w="717" w:type="dxa"/>
            <w:tcBorders>
              <w:top w:val="nil"/>
              <w:left w:val="nil"/>
              <w:bottom w:val="single" w:sz="4" w:space="0" w:color="000000"/>
              <w:right w:val="single" w:sz="4" w:space="0" w:color="000000"/>
            </w:tcBorders>
            <w:noWrap/>
            <w:vAlign w:val="center"/>
            <w:hideMark/>
          </w:tcPr>
          <w:p w14:paraId="0F6C9031"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22.7</w:t>
            </w:r>
          </w:p>
        </w:tc>
        <w:tc>
          <w:tcPr>
            <w:tcW w:w="671" w:type="dxa"/>
            <w:tcBorders>
              <w:top w:val="nil"/>
              <w:left w:val="nil"/>
              <w:bottom w:val="single" w:sz="4" w:space="0" w:color="000000"/>
              <w:right w:val="single" w:sz="4" w:space="0" w:color="auto"/>
            </w:tcBorders>
            <w:noWrap/>
            <w:vAlign w:val="center"/>
            <w:hideMark/>
          </w:tcPr>
          <w:p w14:paraId="52E46877"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24.9</w:t>
            </w:r>
          </w:p>
        </w:tc>
      </w:tr>
      <w:tr w:rsidR="00D47C54" w:rsidRPr="00D47C54" w14:paraId="7B1FF248" w14:textId="77777777" w:rsidTr="00D767EF">
        <w:trPr>
          <w:trHeight w:val="300"/>
        </w:trPr>
        <w:tc>
          <w:tcPr>
            <w:tcW w:w="3402" w:type="dxa"/>
            <w:tcBorders>
              <w:top w:val="nil"/>
              <w:left w:val="single" w:sz="4" w:space="0" w:color="auto"/>
              <w:bottom w:val="single" w:sz="4" w:space="0" w:color="000000"/>
              <w:right w:val="single" w:sz="4" w:space="0" w:color="000000"/>
            </w:tcBorders>
            <w:shd w:val="clear" w:color="F7FAFC" w:fill="F7FAFC"/>
            <w:noWrap/>
            <w:vAlign w:val="center"/>
            <w:hideMark/>
          </w:tcPr>
          <w:p w14:paraId="4FE56F60"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of which: LNG revenues</w:t>
            </w:r>
          </w:p>
        </w:tc>
        <w:tc>
          <w:tcPr>
            <w:tcW w:w="717" w:type="dxa"/>
            <w:tcBorders>
              <w:top w:val="nil"/>
              <w:left w:val="nil"/>
              <w:bottom w:val="single" w:sz="4" w:space="0" w:color="000000"/>
              <w:right w:val="single" w:sz="4" w:space="0" w:color="000000"/>
            </w:tcBorders>
            <w:shd w:val="clear" w:color="F7FAFC" w:fill="F7FAFC"/>
            <w:noWrap/>
            <w:vAlign w:val="center"/>
            <w:hideMark/>
          </w:tcPr>
          <w:p w14:paraId="2FEE9FA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N.A.</w:t>
            </w:r>
          </w:p>
        </w:tc>
        <w:tc>
          <w:tcPr>
            <w:tcW w:w="717" w:type="dxa"/>
            <w:tcBorders>
              <w:top w:val="nil"/>
              <w:left w:val="nil"/>
              <w:bottom w:val="single" w:sz="4" w:space="0" w:color="000000"/>
              <w:right w:val="single" w:sz="4" w:space="0" w:color="000000"/>
            </w:tcBorders>
            <w:shd w:val="clear" w:color="F7FAFC" w:fill="F7FAFC"/>
            <w:noWrap/>
            <w:vAlign w:val="center"/>
            <w:hideMark/>
          </w:tcPr>
          <w:p w14:paraId="7070759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N.A.</w:t>
            </w:r>
          </w:p>
        </w:tc>
        <w:tc>
          <w:tcPr>
            <w:tcW w:w="717" w:type="dxa"/>
            <w:tcBorders>
              <w:top w:val="nil"/>
              <w:left w:val="nil"/>
              <w:bottom w:val="single" w:sz="4" w:space="0" w:color="000000"/>
              <w:right w:val="single" w:sz="4" w:space="0" w:color="000000"/>
            </w:tcBorders>
            <w:shd w:val="clear" w:color="F7FAFC" w:fill="F7FAFC"/>
            <w:noWrap/>
            <w:vAlign w:val="center"/>
            <w:hideMark/>
          </w:tcPr>
          <w:p w14:paraId="255C9945"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N.A.</w:t>
            </w:r>
          </w:p>
        </w:tc>
        <w:tc>
          <w:tcPr>
            <w:tcW w:w="717" w:type="dxa"/>
            <w:tcBorders>
              <w:top w:val="nil"/>
              <w:left w:val="nil"/>
              <w:bottom w:val="single" w:sz="4" w:space="0" w:color="000000"/>
              <w:right w:val="single" w:sz="4" w:space="0" w:color="000000"/>
            </w:tcBorders>
            <w:shd w:val="clear" w:color="F7FAFC" w:fill="F7FAFC"/>
            <w:noWrap/>
            <w:vAlign w:val="center"/>
            <w:hideMark/>
          </w:tcPr>
          <w:p w14:paraId="6C70BD8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0.0</w:t>
            </w:r>
          </w:p>
        </w:tc>
        <w:tc>
          <w:tcPr>
            <w:tcW w:w="717" w:type="dxa"/>
            <w:tcBorders>
              <w:top w:val="nil"/>
              <w:left w:val="nil"/>
              <w:bottom w:val="single" w:sz="4" w:space="0" w:color="000000"/>
              <w:right w:val="single" w:sz="4" w:space="0" w:color="000000"/>
            </w:tcBorders>
            <w:shd w:val="clear" w:color="F7FAFC" w:fill="F7FAFC"/>
            <w:noWrap/>
            <w:vAlign w:val="center"/>
            <w:hideMark/>
          </w:tcPr>
          <w:p w14:paraId="3C233570"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0.0</w:t>
            </w:r>
          </w:p>
        </w:tc>
        <w:tc>
          <w:tcPr>
            <w:tcW w:w="717" w:type="dxa"/>
            <w:tcBorders>
              <w:top w:val="nil"/>
              <w:left w:val="nil"/>
              <w:bottom w:val="single" w:sz="4" w:space="0" w:color="000000"/>
              <w:right w:val="single" w:sz="4" w:space="0" w:color="000000"/>
            </w:tcBorders>
            <w:shd w:val="clear" w:color="F7FAFC" w:fill="F7FAFC"/>
            <w:noWrap/>
            <w:vAlign w:val="center"/>
            <w:hideMark/>
          </w:tcPr>
          <w:p w14:paraId="2DC5E46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0.2</w:t>
            </w:r>
          </w:p>
        </w:tc>
        <w:tc>
          <w:tcPr>
            <w:tcW w:w="717" w:type="dxa"/>
            <w:tcBorders>
              <w:top w:val="nil"/>
              <w:left w:val="nil"/>
              <w:bottom w:val="single" w:sz="4" w:space="0" w:color="000000"/>
              <w:right w:val="single" w:sz="4" w:space="0" w:color="000000"/>
            </w:tcBorders>
            <w:shd w:val="clear" w:color="F7FAFC" w:fill="F7FAFC"/>
            <w:noWrap/>
            <w:vAlign w:val="center"/>
            <w:hideMark/>
          </w:tcPr>
          <w:p w14:paraId="1BD9022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0.4</w:t>
            </w:r>
          </w:p>
        </w:tc>
        <w:tc>
          <w:tcPr>
            <w:tcW w:w="717" w:type="dxa"/>
            <w:tcBorders>
              <w:top w:val="nil"/>
              <w:left w:val="nil"/>
              <w:bottom w:val="single" w:sz="4" w:space="0" w:color="000000"/>
              <w:right w:val="single" w:sz="4" w:space="0" w:color="000000"/>
            </w:tcBorders>
            <w:shd w:val="clear" w:color="F7FAFC" w:fill="F7FAFC"/>
            <w:noWrap/>
            <w:vAlign w:val="center"/>
            <w:hideMark/>
          </w:tcPr>
          <w:p w14:paraId="6F34D38E"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0.4</w:t>
            </w:r>
          </w:p>
        </w:tc>
        <w:tc>
          <w:tcPr>
            <w:tcW w:w="717" w:type="dxa"/>
            <w:tcBorders>
              <w:top w:val="nil"/>
              <w:left w:val="nil"/>
              <w:bottom w:val="single" w:sz="4" w:space="0" w:color="000000"/>
              <w:right w:val="single" w:sz="4" w:space="0" w:color="000000"/>
            </w:tcBorders>
            <w:shd w:val="clear" w:color="F7FAFC" w:fill="F7FAFC"/>
            <w:noWrap/>
            <w:vAlign w:val="center"/>
            <w:hideMark/>
          </w:tcPr>
          <w:p w14:paraId="58A4E7A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0.4</w:t>
            </w:r>
          </w:p>
        </w:tc>
        <w:tc>
          <w:tcPr>
            <w:tcW w:w="717" w:type="dxa"/>
            <w:tcBorders>
              <w:top w:val="nil"/>
              <w:left w:val="nil"/>
              <w:bottom w:val="single" w:sz="4" w:space="0" w:color="000000"/>
              <w:right w:val="single" w:sz="4" w:space="0" w:color="000000"/>
            </w:tcBorders>
            <w:shd w:val="clear" w:color="F7FAFC" w:fill="F7FAFC"/>
            <w:noWrap/>
            <w:vAlign w:val="center"/>
            <w:hideMark/>
          </w:tcPr>
          <w:p w14:paraId="49587957"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0.4</w:t>
            </w:r>
          </w:p>
        </w:tc>
        <w:tc>
          <w:tcPr>
            <w:tcW w:w="671" w:type="dxa"/>
            <w:tcBorders>
              <w:top w:val="nil"/>
              <w:left w:val="nil"/>
              <w:bottom w:val="single" w:sz="4" w:space="0" w:color="000000"/>
              <w:right w:val="single" w:sz="4" w:space="0" w:color="auto"/>
            </w:tcBorders>
            <w:shd w:val="clear" w:color="F7FAFC" w:fill="F7FAFC"/>
            <w:noWrap/>
            <w:vAlign w:val="center"/>
            <w:hideMark/>
          </w:tcPr>
          <w:p w14:paraId="6233DFD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2.5</w:t>
            </w:r>
          </w:p>
        </w:tc>
      </w:tr>
      <w:tr w:rsidR="00D47C54" w:rsidRPr="00D47C54" w14:paraId="70F559F9" w14:textId="77777777" w:rsidTr="00D767EF">
        <w:trPr>
          <w:trHeight w:val="300"/>
        </w:trPr>
        <w:tc>
          <w:tcPr>
            <w:tcW w:w="3402" w:type="dxa"/>
            <w:tcBorders>
              <w:top w:val="nil"/>
              <w:left w:val="single" w:sz="4" w:space="0" w:color="auto"/>
              <w:bottom w:val="single" w:sz="4" w:space="0" w:color="000000"/>
              <w:right w:val="single" w:sz="4" w:space="0" w:color="000000"/>
            </w:tcBorders>
            <w:noWrap/>
            <w:vAlign w:val="center"/>
            <w:hideMark/>
          </w:tcPr>
          <w:p w14:paraId="139E9B8F"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Total expenditure and net lending</w:t>
            </w:r>
          </w:p>
        </w:tc>
        <w:tc>
          <w:tcPr>
            <w:tcW w:w="717" w:type="dxa"/>
            <w:tcBorders>
              <w:top w:val="nil"/>
              <w:left w:val="nil"/>
              <w:bottom w:val="single" w:sz="4" w:space="0" w:color="000000"/>
              <w:right w:val="single" w:sz="4" w:space="0" w:color="000000"/>
            </w:tcBorders>
            <w:noWrap/>
            <w:vAlign w:val="center"/>
            <w:hideMark/>
          </w:tcPr>
          <w:p w14:paraId="46C289E7"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33.9</w:t>
            </w:r>
          </w:p>
        </w:tc>
        <w:tc>
          <w:tcPr>
            <w:tcW w:w="717" w:type="dxa"/>
            <w:tcBorders>
              <w:top w:val="nil"/>
              <w:left w:val="nil"/>
              <w:bottom w:val="single" w:sz="4" w:space="0" w:color="000000"/>
              <w:right w:val="single" w:sz="4" w:space="0" w:color="000000"/>
            </w:tcBorders>
            <w:noWrap/>
            <w:vAlign w:val="center"/>
            <w:hideMark/>
          </w:tcPr>
          <w:p w14:paraId="30312B4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32.1</w:t>
            </w:r>
          </w:p>
        </w:tc>
        <w:tc>
          <w:tcPr>
            <w:tcW w:w="717" w:type="dxa"/>
            <w:tcBorders>
              <w:top w:val="nil"/>
              <w:left w:val="nil"/>
              <w:bottom w:val="single" w:sz="4" w:space="0" w:color="000000"/>
              <w:right w:val="single" w:sz="4" w:space="0" w:color="000000"/>
            </w:tcBorders>
            <w:noWrap/>
            <w:vAlign w:val="center"/>
            <w:hideMark/>
          </w:tcPr>
          <w:p w14:paraId="6956EE47"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32.9</w:t>
            </w:r>
          </w:p>
        </w:tc>
        <w:tc>
          <w:tcPr>
            <w:tcW w:w="717" w:type="dxa"/>
            <w:tcBorders>
              <w:top w:val="nil"/>
              <w:left w:val="nil"/>
              <w:bottom w:val="single" w:sz="4" w:space="0" w:color="000000"/>
              <w:right w:val="single" w:sz="4" w:space="0" w:color="000000"/>
            </w:tcBorders>
            <w:noWrap/>
            <w:vAlign w:val="center"/>
            <w:hideMark/>
          </w:tcPr>
          <w:p w14:paraId="47001AA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33.3</w:t>
            </w:r>
          </w:p>
        </w:tc>
        <w:tc>
          <w:tcPr>
            <w:tcW w:w="717" w:type="dxa"/>
            <w:tcBorders>
              <w:top w:val="nil"/>
              <w:left w:val="nil"/>
              <w:bottom w:val="single" w:sz="4" w:space="0" w:color="000000"/>
              <w:right w:val="single" w:sz="4" w:space="0" w:color="000000"/>
            </w:tcBorders>
            <w:noWrap/>
            <w:vAlign w:val="center"/>
            <w:hideMark/>
          </w:tcPr>
          <w:p w14:paraId="6A0BFC2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33.3</w:t>
            </w:r>
          </w:p>
        </w:tc>
        <w:tc>
          <w:tcPr>
            <w:tcW w:w="717" w:type="dxa"/>
            <w:tcBorders>
              <w:top w:val="nil"/>
              <w:left w:val="nil"/>
              <w:bottom w:val="single" w:sz="4" w:space="0" w:color="000000"/>
              <w:right w:val="single" w:sz="4" w:space="0" w:color="000000"/>
            </w:tcBorders>
            <w:noWrap/>
            <w:vAlign w:val="center"/>
            <w:hideMark/>
          </w:tcPr>
          <w:p w14:paraId="68D4F21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28.1</w:t>
            </w:r>
          </w:p>
        </w:tc>
        <w:tc>
          <w:tcPr>
            <w:tcW w:w="717" w:type="dxa"/>
            <w:tcBorders>
              <w:top w:val="nil"/>
              <w:left w:val="nil"/>
              <w:bottom w:val="single" w:sz="4" w:space="0" w:color="000000"/>
              <w:right w:val="single" w:sz="4" w:space="0" w:color="000000"/>
            </w:tcBorders>
            <w:noWrap/>
            <w:vAlign w:val="center"/>
            <w:hideMark/>
          </w:tcPr>
          <w:p w14:paraId="4C58C768"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30.2</w:t>
            </w:r>
          </w:p>
        </w:tc>
        <w:tc>
          <w:tcPr>
            <w:tcW w:w="717" w:type="dxa"/>
            <w:tcBorders>
              <w:top w:val="nil"/>
              <w:left w:val="nil"/>
              <w:bottom w:val="single" w:sz="4" w:space="0" w:color="000000"/>
              <w:right w:val="single" w:sz="4" w:space="0" w:color="000000"/>
            </w:tcBorders>
            <w:noWrap/>
            <w:vAlign w:val="center"/>
            <w:hideMark/>
          </w:tcPr>
          <w:p w14:paraId="04E6B335"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30.8</w:t>
            </w:r>
          </w:p>
        </w:tc>
        <w:tc>
          <w:tcPr>
            <w:tcW w:w="717" w:type="dxa"/>
            <w:tcBorders>
              <w:top w:val="nil"/>
              <w:left w:val="nil"/>
              <w:bottom w:val="single" w:sz="4" w:space="0" w:color="000000"/>
              <w:right w:val="single" w:sz="4" w:space="0" w:color="000000"/>
            </w:tcBorders>
            <w:noWrap/>
            <w:vAlign w:val="center"/>
            <w:hideMark/>
          </w:tcPr>
          <w:p w14:paraId="2175A43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31.9</w:t>
            </w:r>
          </w:p>
        </w:tc>
        <w:tc>
          <w:tcPr>
            <w:tcW w:w="717" w:type="dxa"/>
            <w:tcBorders>
              <w:top w:val="nil"/>
              <w:left w:val="nil"/>
              <w:bottom w:val="single" w:sz="4" w:space="0" w:color="000000"/>
              <w:right w:val="single" w:sz="4" w:space="0" w:color="000000"/>
            </w:tcBorders>
            <w:noWrap/>
            <w:vAlign w:val="center"/>
            <w:hideMark/>
          </w:tcPr>
          <w:p w14:paraId="392A838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32.7</w:t>
            </w:r>
          </w:p>
        </w:tc>
        <w:tc>
          <w:tcPr>
            <w:tcW w:w="671" w:type="dxa"/>
            <w:tcBorders>
              <w:top w:val="nil"/>
              <w:left w:val="nil"/>
              <w:bottom w:val="single" w:sz="4" w:space="0" w:color="000000"/>
              <w:right w:val="single" w:sz="4" w:space="0" w:color="auto"/>
            </w:tcBorders>
            <w:noWrap/>
            <w:vAlign w:val="center"/>
            <w:hideMark/>
          </w:tcPr>
          <w:p w14:paraId="2F0514A2"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34.9</w:t>
            </w:r>
          </w:p>
        </w:tc>
      </w:tr>
      <w:tr w:rsidR="00D47C54" w:rsidRPr="00D47C54" w14:paraId="6700420F" w14:textId="77777777" w:rsidTr="00D767EF">
        <w:trPr>
          <w:trHeight w:val="300"/>
        </w:trPr>
        <w:tc>
          <w:tcPr>
            <w:tcW w:w="3402" w:type="dxa"/>
            <w:tcBorders>
              <w:top w:val="nil"/>
              <w:left w:val="single" w:sz="4" w:space="0" w:color="auto"/>
              <w:bottom w:val="single" w:sz="4" w:space="0" w:color="000000"/>
              <w:right w:val="single" w:sz="4" w:space="0" w:color="000000"/>
            </w:tcBorders>
            <w:shd w:val="clear" w:color="F7FAFC" w:fill="F7FAFC"/>
            <w:noWrap/>
            <w:vAlign w:val="center"/>
            <w:hideMark/>
          </w:tcPr>
          <w:p w14:paraId="0F899E78"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of which: current expenditure</w:t>
            </w:r>
          </w:p>
        </w:tc>
        <w:tc>
          <w:tcPr>
            <w:tcW w:w="717" w:type="dxa"/>
            <w:tcBorders>
              <w:top w:val="nil"/>
              <w:left w:val="nil"/>
              <w:bottom w:val="single" w:sz="4" w:space="0" w:color="000000"/>
              <w:right w:val="single" w:sz="4" w:space="0" w:color="000000"/>
            </w:tcBorders>
            <w:shd w:val="clear" w:color="F7FAFC" w:fill="F7FAFC"/>
            <w:noWrap/>
            <w:vAlign w:val="center"/>
            <w:hideMark/>
          </w:tcPr>
          <w:p w14:paraId="2D91228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24.7</w:t>
            </w:r>
          </w:p>
        </w:tc>
        <w:tc>
          <w:tcPr>
            <w:tcW w:w="717" w:type="dxa"/>
            <w:tcBorders>
              <w:top w:val="nil"/>
              <w:left w:val="nil"/>
              <w:bottom w:val="single" w:sz="4" w:space="0" w:color="000000"/>
              <w:right w:val="single" w:sz="4" w:space="0" w:color="000000"/>
            </w:tcBorders>
            <w:shd w:val="clear" w:color="F7FAFC" w:fill="F7FAFC"/>
            <w:noWrap/>
            <w:vAlign w:val="center"/>
            <w:hideMark/>
          </w:tcPr>
          <w:p w14:paraId="33E78DE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24.8</w:t>
            </w:r>
          </w:p>
        </w:tc>
        <w:tc>
          <w:tcPr>
            <w:tcW w:w="717" w:type="dxa"/>
            <w:tcBorders>
              <w:top w:val="nil"/>
              <w:left w:val="nil"/>
              <w:bottom w:val="single" w:sz="4" w:space="0" w:color="000000"/>
              <w:right w:val="single" w:sz="4" w:space="0" w:color="000000"/>
            </w:tcBorders>
            <w:shd w:val="clear" w:color="F7FAFC" w:fill="F7FAFC"/>
            <w:noWrap/>
            <w:vAlign w:val="center"/>
            <w:hideMark/>
          </w:tcPr>
          <w:p w14:paraId="553CD65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26.3</w:t>
            </w:r>
          </w:p>
        </w:tc>
        <w:tc>
          <w:tcPr>
            <w:tcW w:w="717" w:type="dxa"/>
            <w:tcBorders>
              <w:top w:val="nil"/>
              <w:left w:val="nil"/>
              <w:bottom w:val="single" w:sz="4" w:space="0" w:color="000000"/>
              <w:right w:val="single" w:sz="4" w:space="0" w:color="000000"/>
            </w:tcBorders>
            <w:shd w:val="clear" w:color="F7FAFC" w:fill="F7FAFC"/>
            <w:noWrap/>
            <w:vAlign w:val="center"/>
            <w:hideMark/>
          </w:tcPr>
          <w:p w14:paraId="19F7197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26.3</w:t>
            </w:r>
          </w:p>
        </w:tc>
        <w:tc>
          <w:tcPr>
            <w:tcW w:w="717" w:type="dxa"/>
            <w:tcBorders>
              <w:top w:val="nil"/>
              <w:left w:val="nil"/>
              <w:bottom w:val="single" w:sz="4" w:space="0" w:color="000000"/>
              <w:right w:val="single" w:sz="4" w:space="0" w:color="000000"/>
            </w:tcBorders>
            <w:shd w:val="clear" w:color="F7FAFC" w:fill="F7FAFC"/>
            <w:noWrap/>
            <w:vAlign w:val="center"/>
            <w:hideMark/>
          </w:tcPr>
          <w:p w14:paraId="37982ED0"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26.4</w:t>
            </w:r>
          </w:p>
        </w:tc>
        <w:tc>
          <w:tcPr>
            <w:tcW w:w="717" w:type="dxa"/>
            <w:tcBorders>
              <w:top w:val="nil"/>
              <w:left w:val="nil"/>
              <w:bottom w:val="single" w:sz="4" w:space="0" w:color="000000"/>
              <w:right w:val="single" w:sz="4" w:space="0" w:color="000000"/>
            </w:tcBorders>
            <w:shd w:val="clear" w:color="F7FAFC" w:fill="F7FAFC"/>
            <w:noWrap/>
            <w:vAlign w:val="center"/>
            <w:hideMark/>
          </w:tcPr>
          <w:p w14:paraId="6448B9D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24.1</w:t>
            </w:r>
          </w:p>
        </w:tc>
        <w:tc>
          <w:tcPr>
            <w:tcW w:w="717" w:type="dxa"/>
            <w:tcBorders>
              <w:top w:val="nil"/>
              <w:left w:val="nil"/>
              <w:bottom w:val="single" w:sz="4" w:space="0" w:color="000000"/>
              <w:right w:val="single" w:sz="4" w:space="0" w:color="000000"/>
            </w:tcBorders>
            <w:shd w:val="clear" w:color="F7FAFC" w:fill="F7FAFC"/>
            <w:noWrap/>
            <w:vAlign w:val="center"/>
            <w:hideMark/>
          </w:tcPr>
          <w:p w14:paraId="550DD2CE"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24.7</w:t>
            </w:r>
          </w:p>
        </w:tc>
        <w:tc>
          <w:tcPr>
            <w:tcW w:w="717" w:type="dxa"/>
            <w:tcBorders>
              <w:top w:val="nil"/>
              <w:left w:val="nil"/>
              <w:bottom w:val="single" w:sz="4" w:space="0" w:color="000000"/>
              <w:right w:val="single" w:sz="4" w:space="0" w:color="000000"/>
            </w:tcBorders>
            <w:shd w:val="clear" w:color="F7FAFC" w:fill="F7FAFC"/>
            <w:noWrap/>
            <w:vAlign w:val="center"/>
            <w:hideMark/>
          </w:tcPr>
          <w:p w14:paraId="0E5D0C0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25.6</w:t>
            </w:r>
          </w:p>
        </w:tc>
        <w:tc>
          <w:tcPr>
            <w:tcW w:w="717" w:type="dxa"/>
            <w:tcBorders>
              <w:top w:val="nil"/>
              <w:left w:val="nil"/>
              <w:bottom w:val="single" w:sz="4" w:space="0" w:color="000000"/>
              <w:right w:val="single" w:sz="4" w:space="0" w:color="000000"/>
            </w:tcBorders>
            <w:shd w:val="clear" w:color="F7FAFC" w:fill="F7FAFC"/>
            <w:noWrap/>
            <w:vAlign w:val="center"/>
            <w:hideMark/>
          </w:tcPr>
          <w:p w14:paraId="22A3C85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26.5</w:t>
            </w:r>
          </w:p>
        </w:tc>
        <w:tc>
          <w:tcPr>
            <w:tcW w:w="717" w:type="dxa"/>
            <w:tcBorders>
              <w:top w:val="nil"/>
              <w:left w:val="nil"/>
              <w:bottom w:val="single" w:sz="4" w:space="0" w:color="000000"/>
              <w:right w:val="single" w:sz="4" w:space="0" w:color="000000"/>
            </w:tcBorders>
            <w:shd w:val="clear" w:color="F7FAFC" w:fill="F7FAFC"/>
            <w:noWrap/>
            <w:vAlign w:val="center"/>
            <w:hideMark/>
          </w:tcPr>
          <w:p w14:paraId="004A140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27.5</w:t>
            </w:r>
          </w:p>
        </w:tc>
        <w:tc>
          <w:tcPr>
            <w:tcW w:w="671" w:type="dxa"/>
            <w:tcBorders>
              <w:top w:val="nil"/>
              <w:left w:val="nil"/>
              <w:bottom w:val="single" w:sz="4" w:space="0" w:color="000000"/>
              <w:right w:val="single" w:sz="4" w:space="0" w:color="auto"/>
            </w:tcBorders>
            <w:shd w:val="clear" w:color="F7FAFC" w:fill="F7FAFC"/>
            <w:noWrap/>
            <w:vAlign w:val="center"/>
            <w:hideMark/>
          </w:tcPr>
          <w:p w14:paraId="34EF9A5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27.5</w:t>
            </w:r>
          </w:p>
        </w:tc>
      </w:tr>
      <w:tr w:rsidR="00D47C54" w:rsidRPr="00D47C54" w14:paraId="051385D1" w14:textId="77777777" w:rsidTr="00D767EF">
        <w:trPr>
          <w:trHeight w:val="300"/>
        </w:trPr>
        <w:tc>
          <w:tcPr>
            <w:tcW w:w="3402" w:type="dxa"/>
            <w:tcBorders>
              <w:top w:val="nil"/>
              <w:left w:val="single" w:sz="4" w:space="0" w:color="auto"/>
              <w:bottom w:val="single" w:sz="4" w:space="0" w:color="000000"/>
              <w:right w:val="single" w:sz="4" w:space="0" w:color="000000"/>
            </w:tcBorders>
            <w:noWrap/>
            <w:vAlign w:val="center"/>
            <w:hideMark/>
          </w:tcPr>
          <w:p w14:paraId="0FF334DC"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Grants</w:t>
            </w:r>
          </w:p>
        </w:tc>
        <w:tc>
          <w:tcPr>
            <w:tcW w:w="717" w:type="dxa"/>
            <w:tcBorders>
              <w:top w:val="nil"/>
              <w:left w:val="nil"/>
              <w:bottom w:val="single" w:sz="4" w:space="0" w:color="000000"/>
              <w:right w:val="single" w:sz="4" w:space="0" w:color="000000"/>
            </w:tcBorders>
            <w:noWrap/>
            <w:vAlign w:val="center"/>
            <w:hideMark/>
          </w:tcPr>
          <w:p w14:paraId="003F959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3.9</w:t>
            </w:r>
          </w:p>
        </w:tc>
        <w:tc>
          <w:tcPr>
            <w:tcW w:w="717" w:type="dxa"/>
            <w:tcBorders>
              <w:top w:val="nil"/>
              <w:left w:val="nil"/>
              <w:bottom w:val="single" w:sz="4" w:space="0" w:color="000000"/>
              <w:right w:val="single" w:sz="4" w:space="0" w:color="000000"/>
            </w:tcBorders>
            <w:noWrap/>
            <w:vAlign w:val="center"/>
            <w:hideMark/>
          </w:tcPr>
          <w:p w14:paraId="225BA2F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1.8</w:t>
            </w:r>
          </w:p>
        </w:tc>
        <w:tc>
          <w:tcPr>
            <w:tcW w:w="717" w:type="dxa"/>
            <w:tcBorders>
              <w:top w:val="nil"/>
              <w:left w:val="nil"/>
              <w:bottom w:val="single" w:sz="4" w:space="0" w:color="000000"/>
              <w:right w:val="single" w:sz="4" w:space="0" w:color="000000"/>
            </w:tcBorders>
            <w:noWrap/>
            <w:vAlign w:val="center"/>
            <w:hideMark/>
          </w:tcPr>
          <w:p w14:paraId="3088C6E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4.0</w:t>
            </w:r>
          </w:p>
        </w:tc>
        <w:tc>
          <w:tcPr>
            <w:tcW w:w="717" w:type="dxa"/>
            <w:tcBorders>
              <w:top w:val="nil"/>
              <w:left w:val="nil"/>
              <w:bottom w:val="single" w:sz="4" w:space="0" w:color="000000"/>
              <w:right w:val="single" w:sz="4" w:space="0" w:color="000000"/>
            </w:tcBorders>
            <w:noWrap/>
            <w:vAlign w:val="center"/>
            <w:hideMark/>
          </w:tcPr>
          <w:p w14:paraId="0A42C7D0"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4.5</w:t>
            </w:r>
          </w:p>
        </w:tc>
        <w:tc>
          <w:tcPr>
            <w:tcW w:w="717" w:type="dxa"/>
            <w:tcBorders>
              <w:top w:val="nil"/>
              <w:left w:val="nil"/>
              <w:bottom w:val="single" w:sz="4" w:space="0" w:color="000000"/>
              <w:right w:val="single" w:sz="4" w:space="0" w:color="000000"/>
            </w:tcBorders>
            <w:noWrap/>
            <w:vAlign w:val="center"/>
            <w:hideMark/>
          </w:tcPr>
          <w:p w14:paraId="3EF825C5"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2.9</w:t>
            </w:r>
          </w:p>
        </w:tc>
        <w:tc>
          <w:tcPr>
            <w:tcW w:w="717" w:type="dxa"/>
            <w:tcBorders>
              <w:top w:val="nil"/>
              <w:left w:val="nil"/>
              <w:bottom w:val="single" w:sz="4" w:space="0" w:color="000000"/>
              <w:right w:val="single" w:sz="4" w:space="0" w:color="000000"/>
            </w:tcBorders>
            <w:noWrap/>
            <w:vAlign w:val="center"/>
            <w:hideMark/>
          </w:tcPr>
          <w:p w14:paraId="50CDBAA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1.3</w:t>
            </w:r>
          </w:p>
        </w:tc>
        <w:tc>
          <w:tcPr>
            <w:tcW w:w="717" w:type="dxa"/>
            <w:tcBorders>
              <w:top w:val="nil"/>
              <w:left w:val="nil"/>
              <w:bottom w:val="single" w:sz="4" w:space="0" w:color="000000"/>
              <w:right w:val="single" w:sz="4" w:space="0" w:color="000000"/>
            </w:tcBorders>
            <w:noWrap/>
            <w:vAlign w:val="center"/>
            <w:hideMark/>
          </w:tcPr>
          <w:p w14:paraId="7F7F5CF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1.5</w:t>
            </w:r>
          </w:p>
        </w:tc>
        <w:tc>
          <w:tcPr>
            <w:tcW w:w="717" w:type="dxa"/>
            <w:tcBorders>
              <w:top w:val="nil"/>
              <w:left w:val="nil"/>
              <w:bottom w:val="single" w:sz="4" w:space="0" w:color="000000"/>
              <w:right w:val="single" w:sz="4" w:space="0" w:color="000000"/>
            </w:tcBorders>
            <w:noWrap/>
            <w:vAlign w:val="center"/>
            <w:hideMark/>
          </w:tcPr>
          <w:p w14:paraId="541E023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1.2</w:t>
            </w:r>
          </w:p>
        </w:tc>
        <w:tc>
          <w:tcPr>
            <w:tcW w:w="717" w:type="dxa"/>
            <w:tcBorders>
              <w:top w:val="nil"/>
              <w:left w:val="nil"/>
              <w:bottom w:val="single" w:sz="4" w:space="0" w:color="000000"/>
              <w:right w:val="single" w:sz="4" w:space="0" w:color="000000"/>
            </w:tcBorders>
            <w:noWrap/>
            <w:vAlign w:val="center"/>
            <w:hideMark/>
          </w:tcPr>
          <w:p w14:paraId="1E48B2E8"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1.2</w:t>
            </w:r>
          </w:p>
        </w:tc>
        <w:tc>
          <w:tcPr>
            <w:tcW w:w="717" w:type="dxa"/>
            <w:tcBorders>
              <w:top w:val="nil"/>
              <w:left w:val="nil"/>
              <w:bottom w:val="single" w:sz="4" w:space="0" w:color="000000"/>
              <w:right w:val="single" w:sz="4" w:space="0" w:color="000000"/>
            </w:tcBorders>
            <w:noWrap/>
            <w:vAlign w:val="center"/>
            <w:hideMark/>
          </w:tcPr>
          <w:p w14:paraId="66043277"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1.2</w:t>
            </w:r>
          </w:p>
        </w:tc>
        <w:tc>
          <w:tcPr>
            <w:tcW w:w="671" w:type="dxa"/>
            <w:tcBorders>
              <w:top w:val="nil"/>
              <w:left w:val="nil"/>
              <w:bottom w:val="single" w:sz="4" w:space="0" w:color="000000"/>
              <w:right w:val="single" w:sz="4" w:space="0" w:color="auto"/>
            </w:tcBorders>
            <w:noWrap/>
            <w:vAlign w:val="center"/>
            <w:hideMark/>
          </w:tcPr>
          <w:p w14:paraId="4A10E44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1.1</w:t>
            </w:r>
          </w:p>
        </w:tc>
      </w:tr>
      <w:tr w:rsidR="00D47C54" w:rsidRPr="00D47C54" w14:paraId="6C9CA723" w14:textId="77777777" w:rsidTr="00D767EF">
        <w:trPr>
          <w:trHeight w:val="300"/>
        </w:trPr>
        <w:tc>
          <w:tcPr>
            <w:tcW w:w="3402" w:type="dxa"/>
            <w:tcBorders>
              <w:top w:val="nil"/>
              <w:left w:val="single" w:sz="4" w:space="0" w:color="auto"/>
              <w:bottom w:val="single" w:sz="4" w:space="0" w:color="000000"/>
              <w:right w:val="single" w:sz="4" w:space="0" w:color="000000"/>
            </w:tcBorders>
            <w:shd w:val="clear" w:color="F7FAFC" w:fill="F7FAFC"/>
            <w:noWrap/>
            <w:vAlign w:val="center"/>
            <w:hideMark/>
          </w:tcPr>
          <w:p w14:paraId="5901519B"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Overall fiscal balance</w:t>
            </w:r>
          </w:p>
        </w:tc>
        <w:tc>
          <w:tcPr>
            <w:tcW w:w="717" w:type="dxa"/>
            <w:tcBorders>
              <w:top w:val="nil"/>
              <w:left w:val="nil"/>
              <w:bottom w:val="single" w:sz="4" w:space="0" w:color="000000"/>
              <w:right w:val="single" w:sz="4" w:space="0" w:color="000000"/>
            </w:tcBorders>
            <w:shd w:val="clear" w:color="F7FAFC" w:fill="F7FAFC"/>
            <w:noWrap/>
            <w:vAlign w:val="center"/>
            <w:hideMark/>
          </w:tcPr>
          <w:p w14:paraId="22A4875E"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-6.2</w:t>
            </w:r>
          </w:p>
        </w:tc>
        <w:tc>
          <w:tcPr>
            <w:tcW w:w="717" w:type="dxa"/>
            <w:tcBorders>
              <w:top w:val="nil"/>
              <w:left w:val="nil"/>
              <w:bottom w:val="single" w:sz="4" w:space="0" w:color="000000"/>
              <w:right w:val="single" w:sz="4" w:space="0" w:color="000000"/>
            </w:tcBorders>
            <w:shd w:val="clear" w:color="F7FAFC" w:fill="F7FAFC"/>
            <w:noWrap/>
            <w:vAlign w:val="center"/>
            <w:hideMark/>
          </w:tcPr>
          <w:p w14:paraId="1CE9F5B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-5.2</w:t>
            </w:r>
          </w:p>
        </w:tc>
        <w:tc>
          <w:tcPr>
            <w:tcW w:w="717" w:type="dxa"/>
            <w:tcBorders>
              <w:top w:val="nil"/>
              <w:left w:val="nil"/>
              <w:bottom w:val="single" w:sz="4" w:space="0" w:color="000000"/>
              <w:right w:val="single" w:sz="4" w:space="0" w:color="000000"/>
            </w:tcBorders>
            <w:shd w:val="clear" w:color="F7FAFC" w:fill="F7FAFC"/>
            <w:noWrap/>
            <w:vAlign w:val="center"/>
            <w:hideMark/>
          </w:tcPr>
          <w:p w14:paraId="568556A2"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-5.3</w:t>
            </w:r>
          </w:p>
        </w:tc>
        <w:tc>
          <w:tcPr>
            <w:tcW w:w="717" w:type="dxa"/>
            <w:tcBorders>
              <w:top w:val="nil"/>
              <w:left w:val="nil"/>
              <w:bottom w:val="single" w:sz="4" w:space="0" w:color="000000"/>
              <w:right w:val="single" w:sz="4" w:space="0" w:color="000000"/>
            </w:tcBorders>
            <w:shd w:val="clear" w:color="F7FAFC" w:fill="F7FAFC"/>
            <w:noWrap/>
            <w:vAlign w:val="center"/>
            <w:hideMark/>
          </w:tcPr>
          <w:p w14:paraId="5459722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-4.2</w:t>
            </w:r>
          </w:p>
        </w:tc>
        <w:tc>
          <w:tcPr>
            <w:tcW w:w="717" w:type="dxa"/>
            <w:tcBorders>
              <w:top w:val="nil"/>
              <w:left w:val="nil"/>
              <w:bottom w:val="single" w:sz="4" w:space="0" w:color="000000"/>
              <w:right w:val="single" w:sz="4" w:space="0" w:color="000000"/>
            </w:tcBorders>
            <w:shd w:val="clear" w:color="F7FAFC" w:fill="F7FAFC"/>
            <w:noWrap/>
            <w:vAlign w:val="center"/>
            <w:hideMark/>
          </w:tcPr>
          <w:p w14:paraId="067DDC5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-6.2</w:t>
            </w:r>
          </w:p>
        </w:tc>
        <w:tc>
          <w:tcPr>
            <w:tcW w:w="717" w:type="dxa"/>
            <w:tcBorders>
              <w:top w:val="nil"/>
              <w:left w:val="nil"/>
              <w:bottom w:val="single" w:sz="4" w:space="0" w:color="000000"/>
              <w:right w:val="single" w:sz="4" w:space="0" w:color="000000"/>
            </w:tcBorders>
            <w:shd w:val="clear" w:color="F7FAFC" w:fill="F7FAFC"/>
            <w:noWrap/>
            <w:vAlign w:val="center"/>
            <w:hideMark/>
          </w:tcPr>
          <w:p w14:paraId="257B1E6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-4.5</w:t>
            </w:r>
          </w:p>
        </w:tc>
        <w:tc>
          <w:tcPr>
            <w:tcW w:w="717" w:type="dxa"/>
            <w:tcBorders>
              <w:top w:val="nil"/>
              <w:left w:val="nil"/>
              <w:bottom w:val="single" w:sz="4" w:space="0" w:color="000000"/>
              <w:right w:val="single" w:sz="4" w:space="0" w:color="000000"/>
            </w:tcBorders>
            <w:shd w:val="clear" w:color="F7FAFC" w:fill="F7FAFC"/>
            <w:noWrap/>
            <w:vAlign w:val="center"/>
            <w:hideMark/>
          </w:tcPr>
          <w:p w14:paraId="7F4AD1C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-6.3</w:t>
            </w:r>
          </w:p>
        </w:tc>
        <w:tc>
          <w:tcPr>
            <w:tcW w:w="717" w:type="dxa"/>
            <w:tcBorders>
              <w:top w:val="nil"/>
              <w:left w:val="nil"/>
              <w:bottom w:val="single" w:sz="4" w:space="0" w:color="000000"/>
              <w:right w:val="single" w:sz="4" w:space="0" w:color="000000"/>
            </w:tcBorders>
            <w:shd w:val="clear" w:color="F7FAFC" w:fill="F7FAFC"/>
            <w:noWrap/>
            <w:vAlign w:val="center"/>
            <w:hideMark/>
          </w:tcPr>
          <w:p w14:paraId="745E902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-7.1</w:t>
            </w:r>
          </w:p>
        </w:tc>
        <w:tc>
          <w:tcPr>
            <w:tcW w:w="717" w:type="dxa"/>
            <w:tcBorders>
              <w:top w:val="nil"/>
              <w:left w:val="nil"/>
              <w:bottom w:val="single" w:sz="4" w:space="0" w:color="000000"/>
              <w:right w:val="single" w:sz="4" w:space="0" w:color="000000"/>
            </w:tcBorders>
            <w:shd w:val="clear" w:color="F7FAFC" w:fill="F7FAFC"/>
            <w:noWrap/>
            <w:vAlign w:val="center"/>
            <w:hideMark/>
          </w:tcPr>
          <w:p w14:paraId="6ACC8E9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-8.1</w:t>
            </w:r>
          </w:p>
        </w:tc>
        <w:tc>
          <w:tcPr>
            <w:tcW w:w="717" w:type="dxa"/>
            <w:tcBorders>
              <w:top w:val="nil"/>
              <w:left w:val="nil"/>
              <w:bottom w:val="single" w:sz="4" w:space="0" w:color="000000"/>
              <w:right w:val="single" w:sz="4" w:space="0" w:color="000000"/>
            </w:tcBorders>
            <w:shd w:val="clear" w:color="F7FAFC" w:fill="F7FAFC"/>
            <w:noWrap/>
            <w:vAlign w:val="center"/>
            <w:hideMark/>
          </w:tcPr>
          <w:p w14:paraId="44881FA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-8.8</w:t>
            </w:r>
          </w:p>
        </w:tc>
        <w:tc>
          <w:tcPr>
            <w:tcW w:w="671" w:type="dxa"/>
            <w:tcBorders>
              <w:top w:val="nil"/>
              <w:left w:val="nil"/>
              <w:bottom w:val="single" w:sz="4" w:space="0" w:color="000000"/>
              <w:right w:val="single" w:sz="4" w:space="0" w:color="auto"/>
            </w:tcBorders>
            <w:shd w:val="clear" w:color="F7FAFC" w:fill="F7FAFC"/>
            <w:noWrap/>
            <w:vAlign w:val="center"/>
            <w:hideMark/>
          </w:tcPr>
          <w:p w14:paraId="35327AC5"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-8.9</w:t>
            </w:r>
          </w:p>
        </w:tc>
      </w:tr>
      <w:tr w:rsidR="00D47C54" w:rsidRPr="00D47C54" w14:paraId="3CF82042" w14:textId="77777777" w:rsidTr="00D767EF">
        <w:trPr>
          <w:trHeight w:val="300"/>
        </w:trPr>
        <w:tc>
          <w:tcPr>
            <w:tcW w:w="3402" w:type="dxa"/>
            <w:tcBorders>
              <w:top w:val="nil"/>
              <w:left w:val="single" w:sz="4" w:space="0" w:color="auto"/>
              <w:bottom w:val="single" w:sz="4" w:space="0" w:color="000000"/>
              <w:right w:val="single" w:sz="4" w:space="0" w:color="000000"/>
            </w:tcBorders>
            <w:noWrap/>
            <w:vAlign w:val="center"/>
            <w:hideMark/>
          </w:tcPr>
          <w:p w14:paraId="50C4E62C"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Primary fiscal balance</w:t>
            </w:r>
          </w:p>
        </w:tc>
        <w:tc>
          <w:tcPr>
            <w:tcW w:w="717" w:type="dxa"/>
            <w:tcBorders>
              <w:top w:val="nil"/>
              <w:left w:val="nil"/>
              <w:bottom w:val="single" w:sz="4" w:space="0" w:color="000000"/>
              <w:right w:val="single" w:sz="4" w:space="0" w:color="000000"/>
            </w:tcBorders>
            <w:noWrap/>
            <w:vAlign w:val="center"/>
            <w:hideMark/>
          </w:tcPr>
          <w:p w14:paraId="2CBEF49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-3.4</w:t>
            </w:r>
          </w:p>
        </w:tc>
        <w:tc>
          <w:tcPr>
            <w:tcW w:w="717" w:type="dxa"/>
            <w:tcBorders>
              <w:top w:val="nil"/>
              <w:left w:val="nil"/>
              <w:bottom w:val="single" w:sz="4" w:space="0" w:color="000000"/>
              <w:right w:val="single" w:sz="4" w:space="0" w:color="000000"/>
            </w:tcBorders>
            <w:noWrap/>
            <w:vAlign w:val="center"/>
            <w:hideMark/>
          </w:tcPr>
          <w:p w14:paraId="34B9E6B9"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-2.7</w:t>
            </w:r>
          </w:p>
        </w:tc>
        <w:tc>
          <w:tcPr>
            <w:tcW w:w="717" w:type="dxa"/>
            <w:tcBorders>
              <w:top w:val="nil"/>
              <w:left w:val="nil"/>
              <w:bottom w:val="single" w:sz="4" w:space="0" w:color="000000"/>
              <w:right w:val="single" w:sz="4" w:space="0" w:color="000000"/>
            </w:tcBorders>
            <w:noWrap/>
            <w:vAlign w:val="center"/>
            <w:hideMark/>
          </w:tcPr>
          <w:p w14:paraId="5AD524F1"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-2.3</w:t>
            </w:r>
          </w:p>
        </w:tc>
        <w:tc>
          <w:tcPr>
            <w:tcW w:w="717" w:type="dxa"/>
            <w:tcBorders>
              <w:top w:val="nil"/>
              <w:left w:val="nil"/>
              <w:bottom w:val="single" w:sz="4" w:space="0" w:color="000000"/>
              <w:right w:val="single" w:sz="4" w:space="0" w:color="000000"/>
            </w:tcBorders>
            <w:noWrap/>
            <w:vAlign w:val="center"/>
            <w:hideMark/>
          </w:tcPr>
          <w:p w14:paraId="3DF7144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-0.4</w:t>
            </w:r>
          </w:p>
        </w:tc>
        <w:tc>
          <w:tcPr>
            <w:tcW w:w="717" w:type="dxa"/>
            <w:tcBorders>
              <w:top w:val="nil"/>
              <w:left w:val="nil"/>
              <w:bottom w:val="single" w:sz="4" w:space="0" w:color="000000"/>
              <w:right w:val="single" w:sz="4" w:space="0" w:color="000000"/>
            </w:tcBorders>
            <w:noWrap/>
            <w:vAlign w:val="center"/>
            <w:hideMark/>
          </w:tcPr>
          <w:p w14:paraId="4AD2DD9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-2.1</w:t>
            </w:r>
          </w:p>
        </w:tc>
        <w:tc>
          <w:tcPr>
            <w:tcW w:w="717" w:type="dxa"/>
            <w:tcBorders>
              <w:top w:val="nil"/>
              <w:left w:val="nil"/>
              <w:bottom w:val="single" w:sz="4" w:space="0" w:color="000000"/>
              <w:right w:val="single" w:sz="4" w:space="0" w:color="000000"/>
            </w:tcBorders>
            <w:noWrap/>
            <w:vAlign w:val="center"/>
            <w:hideMark/>
          </w:tcPr>
          <w:p w14:paraId="168C8B62"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-0.6</w:t>
            </w:r>
          </w:p>
        </w:tc>
        <w:tc>
          <w:tcPr>
            <w:tcW w:w="717" w:type="dxa"/>
            <w:tcBorders>
              <w:top w:val="nil"/>
              <w:left w:val="nil"/>
              <w:bottom w:val="single" w:sz="4" w:space="0" w:color="000000"/>
              <w:right w:val="single" w:sz="4" w:space="0" w:color="000000"/>
            </w:tcBorders>
            <w:noWrap/>
            <w:vAlign w:val="center"/>
            <w:hideMark/>
          </w:tcPr>
          <w:p w14:paraId="28CBDCA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-2.0</w:t>
            </w:r>
          </w:p>
        </w:tc>
        <w:tc>
          <w:tcPr>
            <w:tcW w:w="717" w:type="dxa"/>
            <w:tcBorders>
              <w:top w:val="nil"/>
              <w:left w:val="nil"/>
              <w:bottom w:val="single" w:sz="4" w:space="0" w:color="000000"/>
              <w:right w:val="single" w:sz="4" w:space="0" w:color="000000"/>
            </w:tcBorders>
            <w:noWrap/>
            <w:vAlign w:val="center"/>
            <w:hideMark/>
          </w:tcPr>
          <w:p w14:paraId="2FDDF440"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-2.0</w:t>
            </w:r>
          </w:p>
        </w:tc>
        <w:tc>
          <w:tcPr>
            <w:tcW w:w="717" w:type="dxa"/>
            <w:tcBorders>
              <w:top w:val="nil"/>
              <w:left w:val="nil"/>
              <w:bottom w:val="single" w:sz="4" w:space="0" w:color="000000"/>
              <w:right w:val="single" w:sz="4" w:space="0" w:color="000000"/>
            </w:tcBorders>
            <w:noWrap/>
            <w:vAlign w:val="center"/>
            <w:hideMark/>
          </w:tcPr>
          <w:p w14:paraId="70F00A72"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-2.0</w:t>
            </w:r>
          </w:p>
        </w:tc>
        <w:tc>
          <w:tcPr>
            <w:tcW w:w="717" w:type="dxa"/>
            <w:tcBorders>
              <w:top w:val="nil"/>
              <w:left w:val="nil"/>
              <w:bottom w:val="single" w:sz="4" w:space="0" w:color="000000"/>
              <w:right w:val="single" w:sz="4" w:space="0" w:color="000000"/>
            </w:tcBorders>
            <w:noWrap/>
            <w:vAlign w:val="center"/>
            <w:hideMark/>
          </w:tcPr>
          <w:p w14:paraId="43CDB76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-2.0</w:t>
            </w:r>
          </w:p>
        </w:tc>
        <w:tc>
          <w:tcPr>
            <w:tcW w:w="671" w:type="dxa"/>
            <w:tcBorders>
              <w:top w:val="nil"/>
              <w:left w:val="nil"/>
              <w:bottom w:val="single" w:sz="4" w:space="0" w:color="000000"/>
              <w:right w:val="single" w:sz="4" w:space="0" w:color="auto"/>
            </w:tcBorders>
            <w:noWrap/>
            <w:vAlign w:val="center"/>
            <w:hideMark/>
          </w:tcPr>
          <w:p w14:paraId="46015A75"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-2.0</w:t>
            </w:r>
          </w:p>
        </w:tc>
      </w:tr>
      <w:tr w:rsidR="00D47C54" w:rsidRPr="00D47C54" w14:paraId="2274E88C" w14:textId="77777777" w:rsidTr="00D767EF">
        <w:trPr>
          <w:trHeight w:val="300"/>
        </w:trPr>
        <w:tc>
          <w:tcPr>
            <w:tcW w:w="3402" w:type="dxa"/>
            <w:tcBorders>
              <w:top w:val="nil"/>
              <w:left w:val="single" w:sz="4" w:space="0" w:color="auto"/>
              <w:bottom w:val="single" w:sz="4" w:space="0" w:color="000000"/>
              <w:right w:val="single" w:sz="4" w:space="0" w:color="000000"/>
            </w:tcBorders>
            <w:shd w:val="clear" w:color="F7FAFC" w:fill="F7FAFC"/>
            <w:noWrap/>
            <w:vAlign w:val="center"/>
            <w:hideMark/>
          </w:tcPr>
          <w:p w14:paraId="15FA5115"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lastRenderedPageBreak/>
              <w:t>Structural domestic primary balance 4/</w:t>
            </w:r>
          </w:p>
        </w:tc>
        <w:tc>
          <w:tcPr>
            <w:tcW w:w="717" w:type="dxa"/>
            <w:tcBorders>
              <w:top w:val="nil"/>
              <w:left w:val="nil"/>
              <w:bottom w:val="single" w:sz="4" w:space="0" w:color="000000"/>
              <w:right w:val="single" w:sz="4" w:space="0" w:color="000000"/>
            </w:tcBorders>
            <w:shd w:val="clear" w:color="F7FAFC" w:fill="F7FAFC"/>
            <w:noWrap/>
            <w:vAlign w:val="center"/>
            <w:hideMark/>
          </w:tcPr>
          <w:p w14:paraId="3F054295"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-2.8</w:t>
            </w:r>
          </w:p>
        </w:tc>
        <w:tc>
          <w:tcPr>
            <w:tcW w:w="717" w:type="dxa"/>
            <w:tcBorders>
              <w:top w:val="nil"/>
              <w:left w:val="nil"/>
              <w:bottom w:val="single" w:sz="4" w:space="0" w:color="000000"/>
              <w:right w:val="single" w:sz="4" w:space="0" w:color="000000"/>
            </w:tcBorders>
            <w:shd w:val="clear" w:color="F7FAFC" w:fill="F7FAFC"/>
            <w:noWrap/>
            <w:vAlign w:val="center"/>
            <w:hideMark/>
          </w:tcPr>
          <w:p w14:paraId="47D8318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-0.5</w:t>
            </w:r>
          </w:p>
        </w:tc>
        <w:tc>
          <w:tcPr>
            <w:tcW w:w="717" w:type="dxa"/>
            <w:tcBorders>
              <w:top w:val="nil"/>
              <w:left w:val="nil"/>
              <w:bottom w:val="single" w:sz="4" w:space="0" w:color="000000"/>
              <w:right w:val="single" w:sz="4" w:space="0" w:color="000000"/>
            </w:tcBorders>
            <w:shd w:val="clear" w:color="F7FAFC" w:fill="F7FAFC"/>
            <w:noWrap/>
            <w:vAlign w:val="center"/>
            <w:hideMark/>
          </w:tcPr>
          <w:p w14:paraId="4BF2163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-2.8</w:t>
            </w:r>
          </w:p>
        </w:tc>
        <w:tc>
          <w:tcPr>
            <w:tcW w:w="717" w:type="dxa"/>
            <w:tcBorders>
              <w:top w:val="nil"/>
              <w:left w:val="nil"/>
              <w:bottom w:val="single" w:sz="4" w:space="0" w:color="000000"/>
              <w:right w:val="single" w:sz="4" w:space="0" w:color="000000"/>
            </w:tcBorders>
            <w:shd w:val="clear" w:color="F7FAFC" w:fill="F7FAFC"/>
            <w:noWrap/>
            <w:vAlign w:val="center"/>
            <w:hideMark/>
          </w:tcPr>
          <w:p w14:paraId="214AF89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0.1</w:t>
            </w:r>
          </w:p>
        </w:tc>
        <w:tc>
          <w:tcPr>
            <w:tcW w:w="717" w:type="dxa"/>
            <w:tcBorders>
              <w:top w:val="nil"/>
              <w:left w:val="nil"/>
              <w:bottom w:val="single" w:sz="4" w:space="0" w:color="000000"/>
              <w:right w:val="single" w:sz="4" w:space="0" w:color="000000"/>
            </w:tcBorders>
            <w:shd w:val="clear" w:color="F7FAFC" w:fill="F7FAFC"/>
            <w:noWrap/>
            <w:vAlign w:val="center"/>
            <w:hideMark/>
          </w:tcPr>
          <w:p w14:paraId="542FDD6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-0.5</w:t>
            </w:r>
          </w:p>
        </w:tc>
        <w:tc>
          <w:tcPr>
            <w:tcW w:w="717" w:type="dxa"/>
            <w:tcBorders>
              <w:top w:val="nil"/>
              <w:left w:val="nil"/>
              <w:bottom w:val="single" w:sz="4" w:space="0" w:color="000000"/>
              <w:right w:val="single" w:sz="4" w:space="0" w:color="000000"/>
            </w:tcBorders>
            <w:shd w:val="clear" w:color="F7FAFC" w:fill="F7FAFC"/>
            <w:noWrap/>
            <w:vAlign w:val="center"/>
            <w:hideMark/>
          </w:tcPr>
          <w:p w14:paraId="4B4D676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0.6</w:t>
            </w:r>
          </w:p>
        </w:tc>
        <w:tc>
          <w:tcPr>
            <w:tcW w:w="717" w:type="dxa"/>
            <w:tcBorders>
              <w:top w:val="nil"/>
              <w:left w:val="nil"/>
              <w:bottom w:val="single" w:sz="4" w:space="0" w:color="000000"/>
              <w:right w:val="single" w:sz="4" w:space="0" w:color="000000"/>
            </w:tcBorders>
            <w:shd w:val="clear" w:color="F7FAFC" w:fill="F7FAFC"/>
            <w:noWrap/>
            <w:vAlign w:val="center"/>
            <w:hideMark/>
          </w:tcPr>
          <w:p w14:paraId="7384899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-1.3</w:t>
            </w:r>
          </w:p>
        </w:tc>
        <w:tc>
          <w:tcPr>
            <w:tcW w:w="717" w:type="dxa"/>
            <w:tcBorders>
              <w:top w:val="nil"/>
              <w:left w:val="nil"/>
              <w:bottom w:val="single" w:sz="4" w:space="0" w:color="000000"/>
              <w:right w:val="single" w:sz="4" w:space="0" w:color="000000"/>
            </w:tcBorders>
            <w:shd w:val="clear" w:color="F7FAFC" w:fill="F7FAFC"/>
            <w:noWrap/>
            <w:vAlign w:val="center"/>
            <w:hideMark/>
          </w:tcPr>
          <w:p w14:paraId="3EA0833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-1.4</w:t>
            </w:r>
          </w:p>
        </w:tc>
        <w:tc>
          <w:tcPr>
            <w:tcW w:w="717" w:type="dxa"/>
            <w:tcBorders>
              <w:top w:val="nil"/>
              <w:left w:val="nil"/>
              <w:bottom w:val="single" w:sz="4" w:space="0" w:color="000000"/>
              <w:right w:val="single" w:sz="4" w:space="0" w:color="000000"/>
            </w:tcBorders>
            <w:shd w:val="clear" w:color="F7FAFC" w:fill="F7FAFC"/>
            <w:noWrap/>
            <w:vAlign w:val="center"/>
            <w:hideMark/>
          </w:tcPr>
          <w:p w14:paraId="2ED772F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-1.7</w:t>
            </w:r>
          </w:p>
        </w:tc>
        <w:tc>
          <w:tcPr>
            <w:tcW w:w="717" w:type="dxa"/>
            <w:tcBorders>
              <w:top w:val="nil"/>
              <w:left w:val="nil"/>
              <w:bottom w:val="single" w:sz="4" w:space="0" w:color="000000"/>
              <w:right w:val="single" w:sz="4" w:space="0" w:color="000000"/>
            </w:tcBorders>
            <w:shd w:val="clear" w:color="F7FAFC" w:fill="F7FAFC"/>
            <w:noWrap/>
            <w:vAlign w:val="center"/>
            <w:hideMark/>
          </w:tcPr>
          <w:p w14:paraId="1A62ED6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-1.8</w:t>
            </w:r>
          </w:p>
        </w:tc>
        <w:tc>
          <w:tcPr>
            <w:tcW w:w="671" w:type="dxa"/>
            <w:tcBorders>
              <w:top w:val="nil"/>
              <w:left w:val="nil"/>
              <w:bottom w:val="single" w:sz="4" w:space="0" w:color="000000"/>
              <w:right w:val="single" w:sz="4" w:space="0" w:color="auto"/>
            </w:tcBorders>
            <w:shd w:val="clear" w:color="F7FAFC" w:fill="F7FAFC"/>
            <w:noWrap/>
            <w:vAlign w:val="center"/>
            <w:hideMark/>
          </w:tcPr>
          <w:p w14:paraId="6039BF8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-4.0</w:t>
            </w:r>
          </w:p>
        </w:tc>
      </w:tr>
      <w:tr w:rsidR="00D47C54" w:rsidRPr="00D47C54" w14:paraId="6D023E7A" w14:textId="77777777" w:rsidTr="00D767EF">
        <w:trPr>
          <w:trHeight w:val="300"/>
        </w:trPr>
        <w:tc>
          <w:tcPr>
            <w:tcW w:w="11243" w:type="dxa"/>
            <w:gridSpan w:val="12"/>
            <w:tcBorders>
              <w:top w:val="single" w:sz="4" w:space="0" w:color="000000"/>
              <w:left w:val="single" w:sz="4" w:space="0" w:color="auto"/>
              <w:bottom w:val="single" w:sz="4" w:space="0" w:color="000000"/>
              <w:right w:val="single" w:sz="4" w:space="0" w:color="auto"/>
            </w:tcBorders>
            <w:shd w:val="clear" w:color="EBF8FF" w:fill="EBF8FF"/>
            <w:noWrap/>
            <w:vAlign w:val="center"/>
            <w:hideMark/>
          </w:tcPr>
          <w:p w14:paraId="7A0A022C" w14:textId="77777777" w:rsidR="00D47C54" w:rsidRPr="0002513C" w:rsidRDefault="00D47C54" w:rsidP="00D47C54">
            <w:pPr>
              <w:spacing w:after="0" w:line="240" w:lineRule="auto"/>
              <w:rPr>
                <w:rFonts w:ascii="Times New Roman" w:eastAsia="Times New Roman" w:hAnsi="Times New Roman" w:cs="Times New Roman"/>
                <w:b/>
                <w:bCs/>
                <w:color w:val="1F497D"/>
                <w:sz w:val="20"/>
                <w:szCs w:val="20"/>
                <w:lang w:eastAsia="en-IN" w:bidi="bn-IN"/>
              </w:rPr>
            </w:pPr>
            <w:r w:rsidRPr="0002513C">
              <w:rPr>
                <w:rFonts w:ascii="Times New Roman" w:eastAsia="Times New Roman" w:hAnsi="Times New Roman" w:cs="Times New Roman"/>
                <w:b/>
                <w:bCs/>
                <w:color w:val="1F497D"/>
                <w:sz w:val="20"/>
                <w:szCs w:val="20"/>
                <w:lang w:eastAsia="en-IN" w:bidi="bn-IN"/>
              </w:rPr>
              <w:t>Public sector debt (Percent of GDP) 2/</w:t>
            </w:r>
          </w:p>
        </w:tc>
      </w:tr>
      <w:tr w:rsidR="00D47C54" w:rsidRPr="00D47C54" w14:paraId="7C5319D1" w14:textId="77777777" w:rsidTr="00D767EF">
        <w:trPr>
          <w:trHeight w:val="300"/>
        </w:trPr>
        <w:tc>
          <w:tcPr>
            <w:tcW w:w="3402" w:type="dxa"/>
            <w:tcBorders>
              <w:top w:val="nil"/>
              <w:left w:val="single" w:sz="4" w:space="0" w:color="auto"/>
              <w:bottom w:val="single" w:sz="4" w:space="0" w:color="000000"/>
              <w:right w:val="single" w:sz="4" w:space="0" w:color="000000"/>
            </w:tcBorders>
            <w:shd w:val="clear" w:color="F7FAFC" w:fill="F7FAFC"/>
            <w:noWrap/>
            <w:vAlign w:val="center"/>
            <w:hideMark/>
          </w:tcPr>
          <w:p w14:paraId="0A23CF20"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Nominal stock of total debt</w:t>
            </w:r>
          </w:p>
        </w:tc>
        <w:tc>
          <w:tcPr>
            <w:tcW w:w="717" w:type="dxa"/>
            <w:tcBorders>
              <w:top w:val="nil"/>
              <w:left w:val="nil"/>
              <w:bottom w:val="single" w:sz="4" w:space="0" w:color="000000"/>
              <w:right w:val="single" w:sz="4" w:space="0" w:color="000000"/>
            </w:tcBorders>
            <w:shd w:val="clear" w:color="F7FAFC" w:fill="F7FAFC"/>
            <w:noWrap/>
            <w:vAlign w:val="center"/>
            <w:hideMark/>
          </w:tcPr>
          <w:p w14:paraId="1ACDBB65"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120.0</w:t>
            </w:r>
          </w:p>
        </w:tc>
        <w:tc>
          <w:tcPr>
            <w:tcW w:w="717" w:type="dxa"/>
            <w:tcBorders>
              <w:top w:val="nil"/>
              <w:left w:val="nil"/>
              <w:bottom w:val="single" w:sz="4" w:space="0" w:color="000000"/>
              <w:right w:val="single" w:sz="4" w:space="0" w:color="000000"/>
            </w:tcBorders>
            <w:shd w:val="clear" w:color="F7FAFC" w:fill="F7FAFC"/>
            <w:noWrap/>
            <w:vAlign w:val="center"/>
            <w:hideMark/>
          </w:tcPr>
          <w:p w14:paraId="619AD11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104.3</w:t>
            </w:r>
          </w:p>
        </w:tc>
        <w:tc>
          <w:tcPr>
            <w:tcW w:w="717" w:type="dxa"/>
            <w:tcBorders>
              <w:top w:val="nil"/>
              <w:left w:val="nil"/>
              <w:bottom w:val="single" w:sz="4" w:space="0" w:color="000000"/>
              <w:right w:val="single" w:sz="4" w:space="0" w:color="000000"/>
            </w:tcBorders>
            <w:shd w:val="clear" w:color="F7FAFC" w:fill="F7FAFC"/>
            <w:noWrap/>
            <w:vAlign w:val="center"/>
            <w:hideMark/>
          </w:tcPr>
          <w:p w14:paraId="0B53DFB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100.4</w:t>
            </w:r>
          </w:p>
        </w:tc>
        <w:tc>
          <w:tcPr>
            <w:tcW w:w="717" w:type="dxa"/>
            <w:tcBorders>
              <w:top w:val="nil"/>
              <w:left w:val="nil"/>
              <w:bottom w:val="single" w:sz="4" w:space="0" w:color="000000"/>
              <w:right w:val="single" w:sz="4" w:space="0" w:color="000000"/>
            </w:tcBorders>
            <w:shd w:val="clear" w:color="F7FAFC" w:fill="F7FAFC"/>
            <w:noWrap/>
            <w:vAlign w:val="center"/>
            <w:hideMark/>
          </w:tcPr>
          <w:p w14:paraId="2BBADF41"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90.8</w:t>
            </w:r>
          </w:p>
        </w:tc>
        <w:tc>
          <w:tcPr>
            <w:tcW w:w="717" w:type="dxa"/>
            <w:tcBorders>
              <w:top w:val="nil"/>
              <w:left w:val="nil"/>
              <w:bottom w:val="single" w:sz="4" w:space="0" w:color="000000"/>
              <w:right w:val="single" w:sz="4" w:space="0" w:color="000000"/>
            </w:tcBorders>
            <w:shd w:val="clear" w:color="F7FAFC" w:fill="F7FAFC"/>
            <w:noWrap/>
            <w:vAlign w:val="center"/>
            <w:hideMark/>
          </w:tcPr>
          <w:p w14:paraId="3B137DAE"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89.9</w:t>
            </w:r>
          </w:p>
        </w:tc>
        <w:tc>
          <w:tcPr>
            <w:tcW w:w="717" w:type="dxa"/>
            <w:tcBorders>
              <w:top w:val="nil"/>
              <w:left w:val="nil"/>
              <w:bottom w:val="single" w:sz="4" w:space="0" w:color="000000"/>
              <w:right w:val="single" w:sz="4" w:space="0" w:color="000000"/>
            </w:tcBorders>
            <w:shd w:val="clear" w:color="F7FAFC" w:fill="F7FAFC"/>
            <w:noWrap/>
            <w:vAlign w:val="center"/>
            <w:hideMark/>
          </w:tcPr>
          <w:p w14:paraId="75C95778"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91.4</w:t>
            </w:r>
          </w:p>
        </w:tc>
        <w:tc>
          <w:tcPr>
            <w:tcW w:w="717" w:type="dxa"/>
            <w:tcBorders>
              <w:top w:val="nil"/>
              <w:left w:val="nil"/>
              <w:bottom w:val="single" w:sz="4" w:space="0" w:color="000000"/>
              <w:right w:val="single" w:sz="4" w:space="0" w:color="000000"/>
            </w:tcBorders>
            <w:shd w:val="clear" w:color="F7FAFC" w:fill="F7FAFC"/>
            <w:noWrap/>
            <w:vAlign w:val="center"/>
            <w:hideMark/>
          </w:tcPr>
          <w:p w14:paraId="482D9FF0"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94.6</w:t>
            </w:r>
          </w:p>
        </w:tc>
        <w:tc>
          <w:tcPr>
            <w:tcW w:w="717" w:type="dxa"/>
            <w:tcBorders>
              <w:top w:val="nil"/>
              <w:left w:val="nil"/>
              <w:bottom w:val="single" w:sz="4" w:space="0" w:color="000000"/>
              <w:right w:val="single" w:sz="4" w:space="0" w:color="000000"/>
            </w:tcBorders>
            <w:shd w:val="clear" w:color="F7FAFC" w:fill="F7FAFC"/>
            <w:noWrap/>
            <w:vAlign w:val="center"/>
            <w:hideMark/>
          </w:tcPr>
          <w:p w14:paraId="195D9215"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101.7</w:t>
            </w:r>
          </w:p>
        </w:tc>
        <w:tc>
          <w:tcPr>
            <w:tcW w:w="717" w:type="dxa"/>
            <w:tcBorders>
              <w:top w:val="nil"/>
              <w:left w:val="nil"/>
              <w:bottom w:val="single" w:sz="4" w:space="0" w:color="000000"/>
              <w:right w:val="single" w:sz="4" w:space="0" w:color="000000"/>
            </w:tcBorders>
            <w:shd w:val="clear" w:color="F7FAFC" w:fill="F7FAFC"/>
            <w:noWrap/>
            <w:vAlign w:val="center"/>
            <w:hideMark/>
          </w:tcPr>
          <w:p w14:paraId="35B9E59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107.9</w:t>
            </w:r>
          </w:p>
        </w:tc>
        <w:tc>
          <w:tcPr>
            <w:tcW w:w="717" w:type="dxa"/>
            <w:tcBorders>
              <w:top w:val="nil"/>
              <w:left w:val="nil"/>
              <w:bottom w:val="single" w:sz="4" w:space="0" w:color="000000"/>
              <w:right w:val="single" w:sz="4" w:space="0" w:color="000000"/>
            </w:tcBorders>
            <w:shd w:val="clear" w:color="F7FAFC" w:fill="F7FAFC"/>
            <w:noWrap/>
            <w:vAlign w:val="center"/>
            <w:hideMark/>
          </w:tcPr>
          <w:p w14:paraId="37A93037"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112.3</w:t>
            </w:r>
          </w:p>
        </w:tc>
        <w:tc>
          <w:tcPr>
            <w:tcW w:w="671" w:type="dxa"/>
            <w:tcBorders>
              <w:top w:val="nil"/>
              <w:left w:val="nil"/>
              <w:bottom w:val="single" w:sz="4" w:space="0" w:color="000000"/>
              <w:right w:val="single" w:sz="4" w:space="0" w:color="auto"/>
            </w:tcBorders>
            <w:shd w:val="clear" w:color="F7FAFC" w:fill="F7FAFC"/>
            <w:noWrap/>
            <w:vAlign w:val="center"/>
            <w:hideMark/>
          </w:tcPr>
          <w:p w14:paraId="70AB727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108.0</w:t>
            </w:r>
          </w:p>
        </w:tc>
      </w:tr>
      <w:tr w:rsidR="00D47C54" w:rsidRPr="00D47C54" w14:paraId="17408990" w14:textId="77777777" w:rsidTr="00D767EF">
        <w:trPr>
          <w:trHeight w:val="300"/>
        </w:trPr>
        <w:tc>
          <w:tcPr>
            <w:tcW w:w="3402" w:type="dxa"/>
            <w:tcBorders>
              <w:top w:val="nil"/>
              <w:left w:val="single" w:sz="4" w:space="0" w:color="auto"/>
              <w:bottom w:val="single" w:sz="4" w:space="0" w:color="000000"/>
              <w:right w:val="single" w:sz="4" w:space="0" w:color="000000"/>
            </w:tcBorders>
            <w:noWrap/>
            <w:vAlign w:val="center"/>
            <w:hideMark/>
          </w:tcPr>
          <w:p w14:paraId="1B1257FF"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of which: external</w:t>
            </w:r>
          </w:p>
        </w:tc>
        <w:tc>
          <w:tcPr>
            <w:tcW w:w="717" w:type="dxa"/>
            <w:tcBorders>
              <w:top w:val="nil"/>
              <w:left w:val="nil"/>
              <w:bottom w:val="single" w:sz="4" w:space="0" w:color="000000"/>
              <w:right w:val="single" w:sz="4" w:space="0" w:color="000000"/>
            </w:tcBorders>
            <w:noWrap/>
            <w:vAlign w:val="center"/>
            <w:hideMark/>
          </w:tcPr>
          <w:p w14:paraId="29C688D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97.3</w:t>
            </w:r>
          </w:p>
        </w:tc>
        <w:tc>
          <w:tcPr>
            <w:tcW w:w="717" w:type="dxa"/>
            <w:tcBorders>
              <w:top w:val="nil"/>
              <w:left w:val="nil"/>
              <w:bottom w:val="single" w:sz="4" w:space="0" w:color="000000"/>
              <w:right w:val="single" w:sz="4" w:space="0" w:color="000000"/>
            </w:tcBorders>
            <w:noWrap/>
            <w:vAlign w:val="center"/>
            <w:hideMark/>
          </w:tcPr>
          <w:p w14:paraId="407D34BE"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80.8</w:t>
            </w:r>
          </w:p>
        </w:tc>
        <w:tc>
          <w:tcPr>
            <w:tcW w:w="717" w:type="dxa"/>
            <w:tcBorders>
              <w:top w:val="nil"/>
              <w:left w:val="nil"/>
              <w:bottom w:val="single" w:sz="4" w:space="0" w:color="000000"/>
              <w:right w:val="single" w:sz="4" w:space="0" w:color="000000"/>
            </w:tcBorders>
            <w:noWrap/>
            <w:vAlign w:val="center"/>
            <w:hideMark/>
          </w:tcPr>
          <w:p w14:paraId="1E5D282E"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72.1</w:t>
            </w:r>
          </w:p>
        </w:tc>
        <w:tc>
          <w:tcPr>
            <w:tcW w:w="717" w:type="dxa"/>
            <w:tcBorders>
              <w:top w:val="nil"/>
              <w:left w:val="nil"/>
              <w:bottom w:val="single" w:sz="4" w:space="0" w:color="000000"/>
              <w:right w:val="single" w:sz="4" w:space="0" w:color="000000"/>
            </w:tcBorders>
            <w:noWrap/>
            <w:vAlign w:val="center"/>
            <w:hideMark/>
          </w:tcPr>
          <w:p w14:paraId="76DB274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66.3</w:t>
            </w:r>
          </w:p>
        </w:tc>
        <w:tc>
          <w:tcPr>
            <w:tcW w:w="717" w:type="dxa"/>
            <w:tcBorders>
              <w:top w:val="nil"/>
              <w:left w:val="nil"/>
              <w:bottom w:val="single" w:sz="4" w:space="0" w:color="000000"/>
              <w:right w:val="single" w:sz="4" w:space="0" w:color="000000"/>
            </w:tcBorders>
            <w:noWrap/>
            <w:vAlign w:val="center"/>
            <w:hideMark/>
          </w:tcPr>
          <w:p w14:paraId="507FB6D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60.9</w:t>
            </w:r>
          </w:p>
        </w:tc>
        <w:tc>
          <w:tcPr>
            <w:tcW w:w="717" w:type="dxa"/>
            <w:tcBorders>
              <w:top w:val="nil"/>
              <w:left w:val="nil"/>
              <w:bottom w:val="single" w:sz="4" w:space="0" w:color="000000"/>
              <w:right w:val="single" w:sz="4" w:space="0" w:color="000000"/>
            </w:tcBorders>
            <w:noWrap/>
            <w:vAlign w:val="center"/>
            <w:hideMark/>
          </w:tcPr>
          <w:p w14:paraId="4E958E40"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61.2</w:t>
            </w:r>
          </w:p>
        </w:tc>
        <w:tc>
          <w:tcPr>
            <w:tcW w:w="717" w:type="dxa"/>
            <w:tcBorders>
              <w:top w:val="nil"/>
              <w:left w:val="nil"/>
              <w:bottom w:val="single" w:sz="4" w:space="0" w:color="000000"/>
              <w:right w:val="single" w:sz="4" w:space="0" w:color="000000"/>
            </w:tcBorders>
            <w:noWrap/>
            <w:vAlign w:val="center"/>
            <w:hideMark/>
          </w:tcPr>
          <w:p w14:paraId="5A7EFFA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59.7</w:t>
            </w:r>
          </w:p>
        </w:tc>
        <w:tc>
          <w:tcPr>
            <w:tcW w:w="717" w:type="dxa"/>
            <w:tcBorders>
              <w:top w:val="nil"/>
              <w:left w:val="nil"/>
              <w:bottom w:val="single" w:sz="4" w:space="0" w:color="000000"/>
              <w:right w:val="single" w:sz="4" w:space="0" w:color="000000"/>
            </w:tcBorders>
            <w:noWrap/>
            <w:vAlign w:val="center"/>
            <w:hideMark/>
          </w:tcPr>
          <w:p w14:paraId="55233BD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58.6</w:t>
            </w:r>
          </w:p>
        </w:tc>
        <w:tc>
          <w:tcPr>
            <w:tcW w:w="717" w:type="dxa"/>
            <w:tcBorders>
              <w:top w:val="nil"/>
              <w:left w:val="nil"/>
              <w:bottom w:val="single" w:sz="4" w:space="0" w:color="000000"/>
              <w:right w:val="single" w:sz="4" w:space="0" w:color="000000"/>
            </w:tcBorders>
            <w:noWrap/>
            <w:vAlign w:val="center"/>
            <w:hideMark/>
          </w:tcPr>
          <w:p w14:paraId="43BB25C2"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56.4</w:t>
            </w:r>
          </w:p>
        </w:tc>
        <w:tc>
          <w:tcPr>
            <w:tcW w:w="717" w:type="dxa"/>
            <w:tcBorders>
              <w:top w:val="nil"/>
              <w:left w:val="nil"/>
              <w:bottom w:val="single" w:sz="4" w:space="0" w:color="000000"/>
              <w:right w:val="single" w:sz="4" w:space="0" w:color="000000"/>
            </w:tcBorders>
            <w:noWrap/>
            <w:vAlign w:val="center"/>
            <w:hideMark/>
          </w:tcPr>
          <w:p w14:paraId="7DA452F9"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53.4</w:t>
            </w:r>
          </w:p>
        </w:tc>
        <w:tc>
          <w:tcPr>
            <w:tcW w:w="671" w:type="dxa"/>
            <w:tcBorders>
              <w:top w:val="nil"/>
              <w:left w:val="nil"/>
              <w:bottom w:val="single" w:sz="4" w:space="0" w:color="000000"/>
              <w:right w:val="single" w:sz="4" w:space="0" w:color="auto"/>
            </w:tcBorders>
            <w:noWrap/>
            <w:vAlign w:val="center"/>
            <w:hideMark/>
          </w:tcPr>
          <w:p w14:paraId="24100FF2"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46.7</w:t>
            </w:r>
          </w:p>
        </w:tc>
      </w:tr>
      <w:tr w:rsidR="00D47C54" w:rsidRPr="00D47C54" w14:paraId="2CFBFBE8" w14:textId="77777777" w:rsidTr="00D767EF">
        <w:trPr>
          <w:trHeight w:val="300"/>
        </w:trPr>
        <w:tc>
          <w:tcPr>
            <w:tcW w:w="11243" w:type="dxa"/>
            <w:gridSpan w:val="12"/>
            <w:tcBorders>
              <w:top w:val="single" w:sz="4" w:space="0" w:color="000000"/>
              <w:left w:val="single" w:sz="4" w:space="0" w:color="auto"/>
              <w:bottom w:val="single" w:sz="4" w:space="0" w:color="000000"/>
              <w:right w:val="single" w:sz="4" w:space="0" w:color="auto"/>
            </w:tcBorders>
            <w:shd w:val="clear" w:color="EBF8FF" w:fill="EBF8FF"/>
            <w:noWrap/>
            <w:vAlign w:val="center"/>
            <w:hideMark/>
          </w:tcPr>
          <w:p w14:paraId="21EA1A34" w14:textId="77777777" w:rsidR="00D47C54" w:rsidRPr="0002513C" w:rsidRDefault="00D47C54" w:rsidP="00D47C54">
            <w:pPr>
              <w:spacing w:after="0" w:line="240" w:lineRule="auto"/>
              <w:rPr>
                <w:rFonts w:ascii="Times New Roman" w:eastAsia="Times New Roman" w:hAnsi="Times New Roman" w:cs="Times New Roman"/>
                <w:b/>
                <w:bCs/>
                <w:color w:val="1F497D"/>
                <w:sz w:val="20"/>
                <w:szCs w:val="20"/>
                <w:lang w:eastAsia="en-IN" w:bidi="bn-IN"/>
              </w:rPr>
            </w:pPr>
            <w:r w:rsidRPr="0002513C">
              <w:rPr>
                <w:rFonts w:ascii="Times New Roman" w:eastAsia="Times New Roman" w:hAnsi="Times New Roman" w:cs="Times New Roman"/>
                <w:b/>
                <w:bCs/>
                <w:color w:val="1F497D"/>
                <w:sz w:val="20"/>
                <w:szCs w:val="20"/>
                <w:lang w:eastAsia="en-IN" w:bidi="bn-IN"/>
              </w:rPr>
              <w:t>Money and credit (Percentage change, unless otherwise indicated)</w:t>
            </w:r>
          </w:p>
        </w:tc>
      </w:tr>
      <w:tr w:rsidR="00D47C54" w:rsidRPr="00D47C54" w14:paraId="3184A778" w14:textId="77777777" w:rsidTr="00D767EF">
        <w:trPr>
          <w:trHeight w:val="300"/>
        </w:trPr>
        <w:tc>
          <w:tcPr>
            <w:tcW w:w="3402" w:type="dxa"/>
            <w:tcBorders>
              <w:top w:val="nil"/>
              <w:left w:val="single" w:sz="4" w:space="0" w:color="auto"/>
              <w:bottom w:val="single" w:sz="4" w:space="0" w:color="000000"/>
              <w:right w:val="single" w:sz="4" w:space="0" w:color="000000"/>
            </w:tcBorders>
            <w:noWrap/>
            <w:vAlign w:val="center"/>
            <w:hideMark/>
          </w:tcPr>
          <w:p w14:paraId="59FBC3E7"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Reserve money</w:t>
            </w:r>
          </w:p>
        </w:tc>
        <w:tc>
          <w:tcPr>
            <w:tcW w:w="717" w:type="dxa"/>
            <w:tcBorders>
              <w:top w:val="nil"/>
              <w:left w:val="nil"/>
              <w:bottom w:val="single" w:sz="4" w:space="0" w:color="000000"/>
              <w:right w:val="single" w:sz="4" w:space="0" w:color="000000"/>
            </w:tcBorders>
            <w:noWrap/>
            <w:vAlign w:val="center"/>
            <w:hideMark/>
          </w:tcPr>
          <w:p w14:paraId="2A975FD8"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9.0</w:t>
            </w:r>
          </w:p>
        </w:tc>
        <w:tc>
          <w:tcPr>
            <w:tcW w:w="717" w:type="dxa"/>
            <w:tcBorders>
              <w:top w:val="nil"/>
              <w:left w:val="nil"/>
              <w:bottom w:val="single" w:sz="4" w:space="0" w:color="000000"/>
              <w:right w:val="single" w:sz="4" w:space="0" w:color="000000"/>
            </w:tcBorders>
            <w:noWrap/>
            <w:vAlign w:val="center"/>
            <w:hideMark/>
          </w:tcPr>
          <w:p w14:paraId="0C449CA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-14.3</w:t>
            </w:r>
          </w:p>
        </w:tc>
        <w:tc>
          <w:tcPr>
            <w:tcW w:w="717" w:type="dxa"/>
            <w:tcBorders>
              <w:top w:val="nil"/>
              <w:left w:val="nil"/>
              <w:bottom w:val="single" w:sz="4" w:space="0" w:color="000000"/>
              <w:right w:val="single" w:sz="4" w:space="0" w:color="000000"/>
            </w:tcBorders>
            <w:noWrap/>
            <w:vAlign w:val="center"/>
            <w:hideMark/>
          </w:tcPr>
          <w:p w14:paraId="3F3AEC4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0.6</w:t>
            </w:r>
          </w:p>
        </w:tc>
        <w:tc>
          <w:tcPr>
            <w:tcW w:w="717" w:type="dxa"/>
            <w:tcBorders>
              <w:top w:val="nil"/>
              <w:left w:val="nil"/>
              <w:bottom w:val="single" w:sz="4" w:space="0" w:color="000000"/>
              <w:right w:val="single" w:sz="4" w:space="0" w:color="000000"/>
            </w:tcBorders>
            <w:noWrap/>
            <w:vAlign w:val="center"/>
            <w:hideMark/>
          </w:tcPr>
          <w:p w14:paraId="5286C39E"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117.8</w:t>
            </w:r>
          </w:p>
        </w:tc>
        <w:tc>
          <w:tcPr>
            <w:tcW w:w="717" w:type="dxa"/>
            <w:tcBorders>
              <w:top w:val="nil"/>
              <w:left w:val="nil"/>
              <w:bottom w:val="single" w:sz="4" w:space="0" w:color="000000"/>
              <w:right w:val="single" w:sz="4" w:space="0" w:color="000000"/>
            </w:tcBorders>
            <w:noWrap/>
            <w:vAlign w:val="center"/>
            <w:hideMark/>
          </w:tcPr>
          <w:p w14:paraId="170B7937"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20.7</w:t>
            </w:r>
          </w:p>
        </w:tc>
        <w:tc>
          <w:tcPr>
            <w:tcW w:w="717" w:type="dxa"/>
            <w:tcBorders>
              <w:top w:val="nil"/>
              <w:left w:val="nil"/>
              <w:bottom w:val="single" w:sz="4" w:space="0" w:color="000000"/>
              <w:right w:val="single" w:sz="4" w:space="0" w:color="000000"/>
            </w:tcBorders>
            <w:noWrap/>
            <w:vAlign w:val="center"/>
            <w:hideMark/>
          </w:tcPr>
          <w:p w14:paraId="2E35ED47"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-15.0</w:t>
            </w:r>
          </w:p>
        </w:tc>
        <w:tc>
          <w:tcPr>
            <w:tcW w:w="717" w:type="dxa"/>
            <w:tcBorders>
              <w:top w:val="nil"/>
              <w:left w:val="nil"/>
              <w:bottom w:val="single" w:sz="4" w:space="0" w:color="000000"/>
              <w:right w:val="single" w:sz="4" w:space="0" w:color="000000"/>
            </w:tcBorders>
            <w:noWrap/>
            <w:vAlign w:val="center"/>
            <w:hideMark/>
          </w:tcPr>
          <w:p w14:paraId="65DC7C68"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11.4</w:t>
            </w:r>
          </w:p>
        </w:tc>
        <w:tc>
          <w:tcPr>
            <w:tcW w:w="717" w:type="dxa"/>
            <w:tcBorders>
              <w:top w:val="nil"/>
              <w:left w:val="nil"/>
              <w:bottom w:val="single" w:sz="4" w:space="0" w:color="000000"/>
              <w:right w:val="single" w:sz="4" w:space="0" w:color="000000"/>
            </w:tcBorders>
            <w:noWrap/>
            <w:vAlign w:val="center"/>
            <w:hideMark/>
          </w:tcPr>
          <w:p w14:paraId="569D83C9"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9.9</w:t>
            </w:r>
          </w:p>
        </w:tc>
        <w:tc>
          <w:tcPr>
            <w:tcW w:w="717" w:type="dxa"/>
            <w:tcBorders>
              <w:top w:val="nil"/>
              <w:left w:val="nil"/>
              <w:bottom w:val="single" w:sz="4" w:space="0" w:color="000000"/>
              <w:right w:val="single" w:sz="4" w:space="0" w:color="000000"/>
            </w:tcBorders>
            <w:noWrap/>
            <w:vAlign w:val="center"/>
            <w:hideMark/>
          </w:tcPr>
          <w:p w14:paraId="73D5A65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10.9</w:t>
            </w:r>
          </w:p>
        </w:tc>
        <w:tc>
          <w:tcPr>
            <w:tcW w:w="717" w:type="dxa"/>
            <w:tcBorders>
              <w:top w:val="nil"/>
              <w:left w:val="nil"/>
              <w:bottom w:val="single" w:sz="4" w:space="0" w:color="000000"/>
              <w:right w:val="single" w:sz="4" w:space="0" w:color="000000"/>
            </w:tcBorders>
            <w:noWrap/>
            <w:vAlign w:val="center"/>
            <w:hideMark/>
          </w:tcPr>
          <w:p w14:paraId="665B15C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11.5</w:t>
            </w:r>
          </w:p>
        </w:tc>
        <w:tc>
          <w:tcPr>
            <w:tcW w:w="671" w:type="dxa"/>
            <w:tcBorders>
              <w:top w:val="nil"/>
              <w:left w:val="nil"/>
              <w:bottom w:val="single" w:sz="4" w:space="0" w:color="000000"/>
              <w:right w:val="single" w:sz="4" w:space="0" w:color="auto"/>
            </w:tcBorders>
            <w:noWrap/>
            <w:vAlign w:val="center"/>
            <w:hideMark/>
          </w:tcPr>
          <w:p w14:paraId="4F6003F5"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13.7</w:t>
            </w:r>
          </w:p>
        </w:tc>
      </w:tr>
      <w:tr w:rsidR="00D47C54" w:rsidRPr="00D47C54" w14:paraId="15BECC94" w14:textId="77777777" w:rsidTr="00D767EF">
        <w:trPr>
          <w:trHeight w:val="300"/>
        </w:trPr>
        <w:tc>
          <w:tcPr>
            <w:tcW w:w="3402" w:type="dxa"/>
            <w:tcBorders>
              <w:top w:val="nil"/>
              <w:left w:val="single" w:sz="4" w:space="0" w:color="auto"/>
              <w:bottom w:val="single" w:sz="4" w:space="0" w:color="000000"/>
              <w:right w:val="single" w:sz="4" w:space="0" w:color="000000"/>
            </w:tcBorders>
            <w:shd w:val="clear" w:color="F7FAFC" w:fill="F7FAFC"/>
            <w:noWrap/>
            <w:vAlign w:val="center"/>
            <w:hideMark/>
          </w:tcPr>
          <w:p w14:paraId="49197BC9"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Broad Money (M3)</w:t>
            </w:r>
          </w:p>
        </w:tc>
        <w:tc>
          <w:tcPr>
            <w:tcW w:w="717" w:type="dxa"/>
            <w:tcBorders>
              <w:top w:val="nil"/>
              <w:left w:val="nil"/>
              <w:bottom w:val="single" w:sz="4" w:space="0" w:color="000000"/>
              <w:right w:val="single" w:sz="4" w:space="0" w:color="000000"/>
            </w:tcBorders>
            <w:shd w:val="clear" w:color="F7FAFC" w:fill="F7FAFC"/>
            <w:noWrap/>
            <w:vAlign w:val="center"/>
            <w:hideMark/>
          </w:tcPr>
          <w:p w14:paraId="71AEBC0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23.3</w:t>
            </w:r>
          </w:p>
        </w:tc>
        <w:tc>
          <w:tcPr>
            <w:tcW w:w="717" w:type="dxa"/>
            <w:tcBorders>
              <w:top w:val="nil"/>
              <w:left w:val="nil"/>
              <w:bottom w:val="single" w:sz="4" w:space="0" w:color="000000"/>
              <w:right w:val="single" w:sz="4" w:space="0" w:color="000000"/>
            </w:tcBorders>
            <w:shd w:val="clear" w:color="F7FAFC" w:fill="F7FAFC"/>
            <w:noWrap/>
            <w:vAlign w:val="center"/>
            <w:hideMark/>
          </w:tcPr>
          <w:p w14:paraId="576FB1CE"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1.9</w:t>
            </w:r>
          </w:p>
        </w:tc>
        <w:tc>
          <w:tcPr>
            <w:tcW w:w="717" w:type="dxa"/>
            <w:tcBorders>
              <w:top w:val="nil"/>
              <w:left w:val="nil"/>
              <w:bottom w:val="single" w:sz="4" w:space="0" w:color="000000"/>
              <w:right w:val="single" w:sz="4" w:space="0" w:color="000000"/>
            </w:tcBorders>
            <w:shd w:val="clear" w:color="F7FAFC" w:fill="F7FAFC"/>
            <w:noWrap/>
            <w:vAlign w:val="center"/>
            <w:hideMark/>
          </w:tcPr>
          <w:p w14:paraId="73050945"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8.7</w:t>
            </w:r>
          </w:p>
        </w:tc>
        <w:tc>
          <w:tcPr>
            <w:tcW w:w="717" w:type="dxa"/>
            <w:tcBorders>
              <w:top w:val="nil"/>
              <w:left w:val="nil"/>
              <w:bottom w:val="single" w:sz="4" w:space="0" w:color="000000"/>
              <w:right w:val="single" w:sz="4" w:space="0" w:color="000000"/>
            </w:tcBorders>
            <w:shd w:val="clear" w:color="F7FAFC" w:fill="F7FAFC"/>
            <w:noWrap/>
            <w:vAlign w:val="center"/>
            <w:hideMark/>
          </w:tcPr>
          <w:p w14:paraId="23418950"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3.5</w:t>
            </w:r>
          </w:p>
        </w:tc>
        <w:tc>
          <w:tcPr>
            <w:tcW w:w="717" w:type="dxa"/>
            <w:tcBorders>
              <w:top w:val="nil"/>
              <w:left w:val="nil"/>
              <w:bottom w:val="single" w:sz="4" w:space="0" w:color="000000"/>
              <w:right w:val="single" w:sz="4" w:space="0" w:color="000000"/>
            </w:tcBorders>
            <w:shd w:val="clear" w:color="F7FAFC" w:fill="F7FAFC"/>
            <w:noWrap/>
            <w:vAlign w:val="center"/>
            <w:hideMark/>
          </w:tcPr>
          <w:p w14:paraId="243D959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15.9</w:t>
            </w:r>
          </w:p>
        </w:tc>
        <w:tc>
          <w:tcPr>
            <w:tcW w:w="717" w:type="dxa"/>
            <w:tcBorders>
              <w:top w:val="nil"/>
              <w:left w:val="nil"/>
              <w:bottom w:val="single" w:sz="4" w:space="0" w:color="000000"/>
              <w:right w:val="single" w:sz="4" w:space="0" w:color="000000"/>
            </w:tcBorders>
            <w:shd w:val="clear" w:color="F7FAFC" w:fill="F7FAFC"/>
            <w:noWrap/>
            <w:vAlign w:val="center"/>
            <w:hideMark/>
          </w:tcPr>
          <w:p w14:paraId="69A1497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13.6</w:t>
            </w:r>
          </w:p>
        </w:tc>
        <w:tc>
          <w:tcPr>
            <w:tcW w:w="717" w:type="dxa"/>
            <w:tcBorders>
              <w:top w:val="nil"/>
              <w:left w:val="nil"/>
              <w:bottom w:val="single" w:sz="4" w:space="0" w:color="000000"/>
              <w:right w:val="single" w:sz="4" w:space="0" w:color="000000"/>
            </w:tcBorders>
            <w:shd w:val="clear" w:color="F7FAFC" w:fill="F7FAFC"/>
            <w:noWrap/>
            <w:vAlign w:val="center"/>
            <w:hideMark/>
          </w:tcPr>
          <w:p w14:paraId="6B8BC16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10.1</w:t>
            </w:r>
          </w:p>
        </w:tc>
        <w:tc>
          <w:tcPr>
            <w:tcW w:w="717" w:type="dxa"/>
            <w:tcBorders>
              <w:top w:val="nil"/>
              <w:left w:val="nil"/>
              <w:bottom w:val="single" w:sz="4" w:space="0" w:color="000000"/>
              <w:right w:val="single" w:sz="4" w:space="0" w:color="000000"/>
            </w:tcBorders>
            <w:shd w:val="clear" w:color="F7FAFC" w:fill="F7FAFC"/>
            <w:noWrap/>
            <w:vAlign w:val="center"/>
            <w:hideMark/>
          </w:tcPr>
          <w:p w14:paraId="6B886E1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11.0</w:t>
            </w:r>
          </w:p>
        </w:tc>
        <w:tc>
          <w:tcPr>
            <w:tcW w:w="717" w:type="dxa"/>
            <w:tcBorders>
              <w:top w:val="nil"/>
              <w:left w:val="nil"/>
              <w:bottom w:val="single" w:sz="4" w:space="0" w:color="000000"/>
              <w:right w:val="single" w:sz="4" w:space="0" w:color="000000"/>
            </w:tcBorders>
            <w:shd w:val="clear" w:color="F7FAFC" w:fill="F7FAFC"/>
            <w:noWrap/>
            <w:vAlign w:val="center"/>
            <w:hideMark/>
          </w:tcPr>
          <w:p w14:paraId="6BF3DC4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11.7</w:t>
            </w:r>
          </w:p>
        </w:tc>
        <w:tc>
          <w:tcPr>
            <w:tcW w:w="717" w:type="dxa"/>
            <w:tcBorders>
              <w:top w:val="nil"/>
              <w:left w:val="nil"/>
              <w:bottom w:val="single" w:sz="4" w:space="0" w:color="000000"/>
              <w:right w:val="single" w:sz="4" w:space="0" w:color="000000"/>
            </w:tcBorders>
            <w:shd w:val="clear" w:color="F7FAFC" w:fill="F7FAFC"/>
            <w:noWrap/>
            <w:vAlign w:val="center"/>
            <w:hideMark/>
          </w:tcPr>
          <w:p w14:paraId="0556F9C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11.0</w:t>
            </w:r>
          </w:p>
        </w:tc>
        <w:tc>
          <w:tcPr>
            <w:tcW w:w="671" w:type="dxa"/>
            <w:tcBorders>
              <w:top w:val="nil"/>
              <w:left w:val="nil"/>
              <w:bottom w:val="single" w:sz="4" w:space="0" w:color="000000"/>
              <w:right w:val="single" w:sz="4" w:space="0" w:color="auto"/>
            </w:tcBorders>
            <w:shd w:val="clear" w:color="F7FAFC" w:fill="F7FAFC"/>
            <w:noWrap/>
            <w:vAlign w:val="center"/>
            <w:hideMark/>
          </w:tcPr>
          <w:p w14:paraId="74B9C4C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12.1</w:t>
            </w:r>
          </w:p>
        </w:tc>
      </w:tr>
      <w:tr w:rsidR="00D47C54" w:rsidRPr="00D47C54" w14:paraId="3A8772A7" w14:textId="77777777" w:rsidTr="00D767EF">
        <w:trPr>
          <w:trHeight w:val="300"/>
        </w:trPr>
        <w:tc>
          <w:tcPr>
            <w:tcW w:w="3402" w:type="dxa"/>
            <w:tcBorders>
              <w:top w:val="nil"/>
              <w:left w:val="single" w:sz="4" w:space="0" w:color="auto"/>
              <w:bottom w:val="single" w:sz="4" w:space="0" w:color="000000"/>
              <w:right w:val="single" w:sz="4" w:space="0" w:color="000000"/>
            </w:tcBorders>
            <w:noWrap/>
            <w:vAlign w:val="center"/>
            <w:hideMark/>
          </w:tcPr>
          <w:p w14:paraId="53BB0BED"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Percent of GDP</w:t>
            </w:r>
          </w:p>
        </w:tc>
        <w:tc>
          <w:tcPr>
            <w:tcW w:w="717" w:type="dxa"/>
            <w:tcBorders>
              <w:top w:val="nil"/>
              <w:left w:val="nil"/>
              <w:bottom w:val="single" w:sz="4" w:space="0" w:color="000000"/>
              <w:right w:val="single" w:sz="4" w:space="0" w:color="000000"/>
            </w:tcBorders>
            <w:noWrap/>
            <w:vAlign w:val="center"/>
            <w:hideMark/>
          </w:tcPr>
          <w:p w14:paraId="49C56BD9"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59.0</w:t>
            </w:r>
          </w:p>
        </w:tc>
        <w:tc>
          <w:tcPr>
            <w:tcW w:w="717" w:type="dxa"/>
            <w:tcBorders>
              <w:top w:val="nil"/>
              <w:left w:val="nil"/>
              <w:bottom w:val="single" w:sz="4" w:space="0" w:color="000000"/>
              <w:right w:val="single" w:sz="4" w:space="0" w:color="000000"/>
            </w:tcBorders>
            <w:noWrap/>
            <w:vAlign w:val="center"/>
            <w:hideMark/>
          </w:tcPr>
          <w:p w14:paraId="35C73B20"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56.2</w:t>
            </w:r>
          </w:p>
        </w:tc>
        <w:tc>
          <w:tcPr>
            <w:tcW w:w="717" w:type="dxa"/>
            <w:tcBorders>
              <w:top w:val="nil"/>
              <w:left w:val="nil"/>
              <w:bottom w:val="single" w:sz="4" w:space="0" w:color="000000"/>
              <w:right w:val="single" w:sz="4" w:space="0" w:color="000000"/>
            </w:tcBorders>
            <w:noWrap/>
            <w:vAlign w:val="center"/>
            <w:hideMark/>
          </w:tcPr>
          <w:p w14:paraId="3734058E"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53.6</w:t>
            </w:r>
          </w:p>
        </w:tc>
        <w:tc>
          <w:tcPr>
            <w:tcW w:w="717" w:type="dxa"/>
            <w:tcBorders>
              <w:top w:val="nil"/>
              <w:left w:val="nil"/>
              <w:bottom w:val="single" w:sz="4" w:space="0" w:color="000000"/>
              <w:right w:val="single" w:sz="4" w:space="0" w:color="000000"/>
            </w:tcBorders>
            <w:noWrap/>
            <w:vAlign w:val="center"/>
            <w:hideMark/>
          </w:tcPr>
          <w:p w14:paraId="61C5E4A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50.1</w:t>
            </w:r>
          </w:p>
        </w:tc>
        <w:tc>
          <w:tcPr>
            <w:tcW w:w="717" w:type="dxa"/>
            <w:tcBorders>
              <w:top w:val="nil"/>
              <w:left w:val="nil"/>
              <w:bottom w:val="single" w:sz="4" w:space="0" w:color="000000"/>
              <w:right w:val="single" w:sz="4" w:space="0" w:color="000000"/>
            </w:tcBorders>
            <w:noWrap/>
            <w:vAlign w:val="center"/>
            <w:hideMark/>
          </w:tcPr>
          <w:p w14:paraId="7FE12910"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53.4</w:t>
            </w:r>
          </w:p>
        </w:tc>
        <w:tc>
          <w:tcPr>
            <w:tcW w:w="717" w:type="dxa"/>
            <w:tcBorders>
              <w:top w:val="nil"/>
              <w:left w:val="nil"/>
              <w:bottom w:val="single" w:sz="4" w:space="0" w:color="000000"/>
              <w:right w:val="single" w:sz="4" w:space="0" w:color="000000"/>
            </w:tcBorders>
            <w:noWrap/>
            <w:vAlign w:val="center"/>
            <w:hideMark/>
          </w:tcPr>
          <w:p w14:paraId="7BF14192"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56.3</w:t>
            </w:r>
          </w:p>
        </w:tc>
        <w:tc>
          <w:tcPr>
            <w:tcW w:w="717" w:type="dxa"/>
            <w:tcBorders>
              <w:top w:val="nil"/>
              <w:left w:val="nil"/>
              <w:bottom w:val="single" w:sz="4" w:space="0" w:color="000000"/>
              <w:right w:val="single" w:sz="4" w:space="0" w:color="000000"/>
            </w:tcBorders>
            <w:noWrap/>
            <w:vAlign w:val="center"/>
            <w:hideMark/>
          </w:tcPr>
          <w:p w14:paraId="716D7A7E"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57.2</w:t>
            </w:r>
          </w:p>
        </w:tc>
        <w:tc>
          <w:tcPr>
            <w:tcW w:w="717" w:type="dxa"/>
            <w:tcBorders>
              <w:top w:val="nil"/>
              <w:left w:val="nil"/>
              <w:bottom w:val="single" w:sz="4" w:space="0" w:color="000000"/>
              <w:right w:val="single" w:sz="4" w:space="0" w:color="000000"/>
            </w:tcBorders>
            <w:noWrap/>
            <w:vAlign w:val="center"/>
            <w:hideMark/>
          </w:tcPr>
          <w:p w14:paraId="100128B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58.1</w:t>
            </w:r>
          </w:p>
        </w:tc>
        <w:tc>
          <w:tcPr>
            <w:tcW w:w="717" w:type="dxa"/>
            <w:tcBorders>
              <w:top w:val="nil"/>
              <w:left w:val="nil"/>
              <w:bottom w:val="single" w:sz="4" w:space="0" w:color="000000"/>
              <w:right w:val="single" w:sz="4" w:space="0" w:color="000000"/>
            </w:tcBorders>
            <w:noWrap/>
            <w:vAlign w:val="center"/>
            <w:hideMark/>
          </w:tcPr>
          <w:p w14:paraId="1784A2F8"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59.4</w:t>
            </w:r>
          </w:p>
        </w:tc>
        <w:tc>
          <w:tcPr>
            <w:tcW w:w="717" w:type="dxa"/>
            <w:tcBorders>
              <w:top w:val="nil"/>
              <w:left w:val="nil"/>
              <w:bottom w:val="single" w:sz="4" w:space="0" w:color="000000"/>
              <w:right w:val="single" w:sz="4" w:space="0" w:color="000000"/>
            </w:tcBorders>
            <w:noWrap/>
            <w:vAlign w:val="center"/>
            <w:hideMark/>
          </w:tcPr>
          <w:p w14:paraId="566CC26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59.6</w:t>
            </w:r>
          </w:p>
        </w:tc>
        <w:tc>
          <w:tcPr>
            <w:tcW w:w="671" w:type="dxa"/>
            <w:tcBorders>
              <w:top w:val="nil"/>
              <w:left w:val="nil"/>
              <w:bottom w:val="single" w:sz="4" w:space="0" w:color="000000"/>
              <w:right w:val="single" w:sz="4" w:space="0" w:color="auto"/>
            </w:tcBorders>
            <w:noWrap/>
            <w:vAlign w:val="center"/>
            <w:hideMark/>
          </w:tcPr>
          <w:p w14:paraId="256BFAF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55.4</w:t>
            </w:r>
          </w:p>
        </w:tc>
      </w:tr>
      <w:tr w:rsidR="00D47C54" w:rsidRPr="00D47C54" w14:paraId="48134000" w14:textId="77777777" w:rsidTr="00D767EF">
        <w:trPr>
          <w:trHeight w:val="300"/>
        </w:trPr>
        <w:tc>
          <w:tcPr>
            <w:tcW w:w="3402" w:type="dxa"/>
            <w:tcBorders>
              <w:top w:val="nil"/>
              <w:left w:val="single" w:sz="4" w:space="0" w:color="auto"/>
              <w:bottom w:val="single" w:sz="4" w:space="0" w:color="000000"/>
              <w:right w:val="single" w:sz="4" w:space="0" w:color="000000"/>
            </w:tcBorders>
            <w:shd w:val="clear" w:color="F7FAFC" w:fill="F7FAFC"/>
            <w:noWrap/>
            <w:vAlign w:val="center"/>
            <w:hideMark/>
          </w:tcPr>
          <w:p w14:paraId="79464EDA"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Credit to the economy</w:t>
            </w:r>
          </w:p>
        </w:tc>
        <w:tc>
          <w:tcPr>
            <w:tcW w:w="717" w:type="dxa"/>
            <w:tcBorders>
              <w:top w:val="nil"/>
              <w:left w:val="nil"/>
              <w:bottom w:val="single" w:sz="4" w:space="0" w:color="000000"/>
              <w:right w:val="single" w:sz="4" w:space="0" w:color="000000"/>
            </w:tcBorders>
            <w:shd w:val="clear" w:color="F7FAFC" w:fill="F7FAFC"/>
            <w:noWrap/>
            <w:vAlign w:val="center"/>
            <w:hideMark/>
          </w:tcPr>
          <w:p w14:paraId="194BE76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13.1</w:t>
            </w:r>
          </w:p>
        </w:tc>
        <w:tc>
          <w:tcPr>
            <w:tcW w:w="717" w:type="dxa"/>
            <w:tcBorders>
              <w:top w:val="nil"/>
              <w:left w:val="nil"/>
              <w:bottom w:val="single" w:sz="4" w:space="0" w:color="000000"/>
              <w:right w:val="single" w:sz="4" w:space="0" w:color="000000"/>
            </w:tcBorders>
            <w:shd w:val="clear" w:color="F7FAFC" w:fill="F7FAFC"/>
            <w:noWrap/>
            <w:vAlign w:val="center"/>
            <w:hideMark/>
          </w:tcPr>
          <w:p w14:paraId="0FF9049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5.2</w:t>
            </w:r>
          </w:p>
        </w:tc>
        <w:tc>
          <w:tcPr>
            <w:tcW w:w="717" w:type="dxa"/>
            <w:tcBorders>
              <w:top w:val="nil"/>
              <w:left w:val="nil"/>
              <w:bottom w:val="single" w:sz="4" w:space="0" w:color="000000"/>
              <w:right w:val="single" w:sz="4" w:space="0" w:color="000000"/>
            </w:tcBorders>
            <w:shd w:val="clear" w:color="F7FAFC" w:fill="F7FAFC"/>
            <w:noWrap/>
            <w:vAlign w:val="center"/>
            <w:hideMark/>
          </w:tcPr>
          <w:p w14:paraId="5F326BE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4.0</w:t>
            </w:r>
          </w:p>
        </w:tc>
        <w:tc>
          <w:tcPr>
            <w:tcW w:w="717" w:type="dxa"/>
            <w:tcBorders>
              <w:top w:val="nil"/>
              <w:left w:val="nil"/>
              <w:bottom w:val="single" w:sz="4" w:space="0" w:color="000000"/>
              <w:right w:val="single" w:sz="4" w:space="0" w:color="000000"/>
            </w:tcBorders>
            <w:shd w:val="clear" w:color="F7FAFC" w:fill="F7FAFC"/>
            <w:noWrap/>
            <w:vAlign w:val="center"/>
            <w:hideMark/>
          </w:tcPr>
          <w:p w14:paraId="2C623C3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-2.5</w:t>
            </w:r>
          </w:p>
        </w:tc>
        <w:tc>
          <w:tcPr>
            <w:tcW w:w="717" w:type="dxa"/>
            <w:tcBorders>
              <w:top w:val="nil"/>
              <w:left w:val="nil"/>
              <w:bottom w:val="single" w:sz="4" w:space="0" w:color="000000"/>
              <w:right w:val="single" w:sz="4" w:space="0" w:color="000000"/>
            </w:tcBorders>
            <w:shd w:val="clear" w:color="F7FAFC" w:fill="F7FAFC"/>
            <w:noWrap/>
            <w:vAlign w:val="center"/>
            <w:hideMark/>
          </w:tcPr>
          <w:p w14:paraId="4FAD8FEE"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3.7</w:t>
            </w:r>
          </w:p>
        </w:tc>
        <w:tc>
          <w:tcPr>
            <w:tcW w:w="717" w:type="dxa"/>
            <w:tcBorders>
              <w:top w:val="nil"/>
              <w:left w:val="nil"/>
              <w:bottom w:val="single" w:sz="4" w:space="0" w:color="000000"/>
              <w:right w:val="single" w:sz="4" w:space="0" w:color="000000"/>
            </w:tcBorders>
            <w:shd w:val="clear" w:color="F7FAFC" w:fill="F7FAFC"/>
            <w:noWrap/>
            <w:vAlign w:val="center"/>
            <w:hideMark/>
          </w:tcPr>
          <w:p w14:paraId="507777E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2.3</w:t>
            </w:r>
          </w:p>
        </w:tc>
        <w:tc>
          <w:tcPr>
            <w:tcW w:w="717" w:type="dxa"/>
            <w:tcBorders>
              <w:top w:val="nil"/>
              <w:left w:val="nil"/>
              <w:bottom w:val="single" w:sz="4" w:space="0" w:color="000000"/>
              <w:right w:val="single" w:sz="4" w:space="0" w:color="000000"/>
            </w:tcBorders>
            <w:shd w:val="clear" w:color="F7FAFC" w:fill="F7FAFC"/>
            <w:noWrap/>
            <w:vAlign w:val="center"/>
            <w:hideMark/>
          </w:tcPr>
          <w:p w14:paraId="123F959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2.4</w:t>
            </w:r>
          </w:p>
        </w:tc>
        <w:tc>
          <w:tcPr>
            <w:tcW w:w="717" w:type="dxa"/>
            <w:tcBorders>
              <w:top w:val="nil"/>
              <w:left w:val="nil"/>
              <w:bottom w:val="single" w:sz="4" w:space="0" w:color="000000"/>
              <w:right w:val="single" w:sz="4" w:space="0" w:color="000000"/>
            </w:tcBorders>
            <w:shd w:val="clear" w:color="F7FAFC" w:fill="F7FAFC"/>
            <w:noWrap/>
            <w:vAlign w:val="center"/>
            <w:hideMark/>
          </w:tcPr>
          <w:p w14:paraId="2C5B6075"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1.7</w:t>
            </w:r>
          </w:p>
        </w:tc>
        <w:tc>
          <w:tcPr>
            <w:tcW w:w="717" w:type="dxa"/>
            <w:tcBorders>
              <w:top w:val="nil"/>
              <w:left w:val="nil"/>
              <w:bottom w:val="single" w:sz="4" w:space="0" w:color="000000"/>
              <w:right w:val="single" w:sz="4" w:space="0" w:color="000000"/>
            </w:tcBorders>
            <w:shd w:val="clear" w:color="F7FAFC" w:fill="F7FAFC"/>
            <w:noWrap/>
            <w:vAlign w:val="center"/>
            <w:hideMark/>
          </w:tcPr>
          <w:p w14:paraId="489039B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1.1</w:t>
            </w:r>
          </w:p>
        </w:tc>
        <w:tc>
          <w:tcPr>
            <w:tcW w:w="717" w:type="dxa"/>
            <w:tcBorders>
              <w:top w:val="nil"/>
              <w:left w:val="nil"/>
              <w:bottom w:val="single" w:sz="4" w:space="0" w:color="000000"/>
              <w:right w:val="single" w:sz="4" w:space="0" w:color="000000"/>
            </w:tcBorders>
            <w:shd w:val="clear" w:color="F7FAFC" w:fill="F7FAFC"/>
            <w:noWrap/>
            <w:vAlign w:val="center"/>
            <w:hideMark/>
          </w:tcPr>
          <w:p w14:paraId="60036A8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0.2</w:t>
            </w:r>
          </w:p>
        </w:tc>
        <w:tc>
          <w:tcPr>
            <w:tcW w:w="671" w:type="dxa"/>
            <w:tcBorders>
              <w:top w:val="nil"/>
              <w:left w:val="nil"/>
              <w:bottom w:val="single" w:sz="4" w:space="0" w:color="000000"/>
              <w:right w:val="single" w:sz="4" w:space="0" w:color="auto"/>
            </w:tcBorders>
            <w:shd w:val="clear" w:color="F7FAFC" w:fill="F7FAFC"/>
            <w:noWrap/>
            <w:vAlign w:val="center"/>
            <w:hideMark/>
          </w:tcPr>
          <w:p w14:paraId="7E1A0A8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5.0</w:t>
            </w:r>
          </w:p>
        </w:tc>
      </w:tr>
      <w:tr w:rsidR="00D47C54" w:rsidRPr="00D47C54" w14:paraId="03B6C26F" w14:textId="77777777" w:rsidTr="00D767EF">
        <w:trPr>
          <w:trHeight w:val="300"/>
        </w:trPr>
        <w:tc>
          <w:tcPr>
            <w:tcW w:w="3402" w:type="dxa"/>
            <w:tcBorders>
              <w:top w:val="nil"/>
              <w:left w:val="single" w:sz="4" w:space="0" w:color="auto"/>
              <w:bottom w:val="single" w:sz="4" w:space="0" w:color="000000"/>
              <w:right w:val="single" w:sz="4" w:space="0" w:color="000000"/>
            </w:tcBorders>
            <w:noWrap/>
            <w:vAlign w:val="center"/>
            <w:hideMark/>
          </w:tcPr>
          <w:p w14:paraId="258B212F"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Percent of GDP</w:t>
            </w:r>
          </w:p>
        </w:tc>
        <w:tc>
          <w:tcPr>
            <w:tcW w:w="717" w:type="dxa"/>
            <w:tcBorders>
              <w:top w:val="nil"/>
              <w:left w:val="nil"/>
              <w:bottom w:val="single" w:sz="4" w:space="0" w:color="000000"/>
              <w:right w:val="single" w:sz="4" w:space="0" w:color="000000"/>
            </w:tcBorders>
            <w:noWrap/>
            <w:vAlign w:val="center"/>
            <w:hideMark/>
          </w:tcPr>
          <w:p w14:paraId="6584D21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26.2</w:t>
            </w:r>
          </w:p>
        </w:tc>
        <w:tc>
          <w:tcPr>
            <w:tcW w:w="717" w:type="dxa"/>
            <w:tcBorders>
              <w:top w:val="nil"/>
              <w:left w:val="nil"/>
              <w:bottom w:val="single" w:sz="4" w:space="0" w:color="000000"/>
              <w:right w:val="single" w:sz="4" w:space="0" w:color="000000"/>
            </w:tcBorders>
            <w:noWrap/>
            <w:vAlign w:val="center"/>
            <w:hideMark/>
          </w:tcPr>
          <w:p w14:paraId="337D1AF8"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25.8</w:t>
            </w:r>
          </w:p>
        </w:tc>
        <w:tc>
          <w:tcPr>
            <w:tcW w:w="717" w:type="dxa"/>
            <w:tcBorders>
              <w:top w:val="nil"/>
              <w:left w:val="nil"/>
              <w:bottom w:val="single" w:sz="4" w:space="0" w:color="000000"/>
              <w:right w:val="single" w:sz="4" w:space="0" w:color="000000"/>
            </w:tcBorders>
            <w:noWrap/>
            <w:vAlign w:val="center"/>
            <w:hideMark/>
          </w:tcPr>
          <w:p w14:paraId="618068A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23.5</w:t>
            </w:r>
          </w:p>
        </w:tc>
        <w:tc>
          <w:tcPr>
            <w:tcW w:w="717" w:type="dxa"/>
            <w:tcBorders>
              <w:top w:val="nil"/>
              <w:left w:val="nil"/>
              <w:bottom w:val="single" w:sz="4" w:space="0" w:color="000000"/>
              <w:right w:val="single" w:sz="4" w:space="0" w:color="000000"/>
            </w:tcBorders>
            <w:noWrap/>
            <w:vAlign w:val="center"/>
            <w:hideMark/>
          </w:tcPr>
          <w:p w14:paraId="163C5A6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20.7</w:t>
            </w:r>
          </w:p>
        </w:tc>
        <w:tc>
          <w:tcPr>
            <w:tcW w:w="717" w:type="dxa"/>
            <w:tcBorders>
              <w:top w:val="nil"/>
              <w:left w:val="nil"/>
              <w:bottom w:val="single" w:sz="4" w:space="0" w:color="000000"/>
              <w:right w:val="single" w:sz="4" w:space="0" w:color="000000"/>
            </w:tcBorders>
            <w:noWrap/>
            <w:vAlign w:val="center"/>
            <w:hideMark/>
          </w:tcPr>
          <w:p w14:paraId="246461E1"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19.7</w:t>
            </w:r>
          </w:p>
        </w:tc>
        <w:tc>
          <w:tcPr>
            <w:tcW w:w="717" w:type="dxa"/>
            <w:tcBorders>
              <w:top w:val="nil"/>
              <w:left w:val="nil"/>
              <w:bottom w:val="single" w:sz="4" w:space="0" w:color="000000"/>
              <w:right w:val="single" w:sz="4" w:space="0" w:color="000000"/>
            </w:tcBorders>
            <w:noWrap/>
            <w:vAlign w:val="center"/>
            <w:hideMark/>
          </w:tcPr>
          <w:p w14:paraId="3A0BCD61"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18.7</w:t>
            </w:r>
          </w:p>
        </w:tc>
        <w:tc>
          <w:tcPr>
            <w:tcW w:w="717" w:type="dxa"/>
            <w:tcBorders>
              <w:top w:val="nil"/>
              <w:left w:val="nil"/>
              <w:bottom w:val="single" w:sz="4" w:space="0" w:color="000000"/>
              <w:right w:val="single" w:sz="4" w:space="0" w:color="000000"/>
            </w:tcBorders>
            <w:noWrap/>
            <w:vAlign w:val="center"/>
            <w:hideMark/>
          </w:tcPr>
          <w:p w14:paraId="71D2D781"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17.7</w:t>
            </w:r>
          </w:p>
        </w:tc>
        <w:tc>
          <w:tcPr>
            <w:tcW w:w="717" w:type="dxa"/>
            <w:tcBorders>
              <w:top w:val="nil"/>
              <w:left w:val="nil"/>
              <w:bottom w:val="single" w:sz="4" w:space="0" w:color="000000"/>
              <w:right w:val="single" w:sz="4" w:space="0" w:color="000000"/>
            </w:tcBorders>
            <w:noWrap/>
            <w:vAlign w:val="center"/>
            <w:hideMark/>
          </w:tcPr>
          <w:p w14:paraId="40A264D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16.5</w:t>
            </w:r>
          </w:p>
        </w:tc>
        <w:tc>
          <w:tcPr>
            <w:tcW w:w="717" w:type="dxa"/>
            <w:tcBorders>
              <w:top w:val="nil"/>
              <w:left w:val="nil"/>
              <w:bottom w:val="single" w:sz="4" w:space="0" w:color="000000"/>
              <w:right w:val="single" w:sz="4" w:space="0" w:color="000000"/>
            </w:tcBorders>
            <w:noWrap/>
            <w:vAlign w:val="center"/>
            <w:hideMark/>
          </w:tcPr>
          <w:p w14:paraId="3102E15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15.2</w:t>
            </w:r>
          </w:p>
        </w:tc>
        <w:tc>
          <w:tcPr>
            <w:tcW w:w="717" w:type="dxa"/>
            <w:tcBorders>
              <w:top w:val="nil"/>
              <w:left w:val="nil"/>
              <w:bottom w:val="single" w:sz="4" w:space="0" w:color="000000"/>
              <w:right w:val="single" w:sz="4" w:space="0" w:color="000000"/>
            </w:tcBorders>
            <w:noWrap/>
            <w:vAlign w:val="center"/>
            <w:hideMark/>
          </w:tcPr>
          <w:p w14:paraId="568AEB7E"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13.8</w:t>
            </w:r>
          </w:p>
        </w:tc>
        <w:tc>
          <w:tcPr>
            <w:tcW w:w="671" w:type="dxa"/>
            <w:tcBorders>
              <w:top w:val="nil"/>
              <w:left w:val="nil"/>
              <w:bottom w:val="single" w:sz="4" w:space="0" w:color="000000"/>
              <w:right w:val="single" w:sz="4" w:space="0" w:color="auto"/>
            </w:tcBorders>
            <w:noWrap/>
            <w:vAlign w:val="center"/>
            <w:hideMark/>
          </w:tcPr>
          <w:p w14:paraId="2A791F69"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12.0</w:t>
            </w:r>
          </w:p>
        </w:tc>
      </w:tr>
      <w:tr w:rsidR="00D47C54" w:rsidRPr="00D47C54" w14:paraId="2F1ACF04" w14:textId="77777777" w:rsidTr="00D767EF">
        <w:trPr>
          <w:trHeight w:val="300"/>
        </w:trPr>
        <w:tc>
          <w:tcPr>
            <w:tcW w:w="3402" w:type="dxa"/>
            <w:tcBorders>
              <w:top w:val="nil"/>
              <w:left w:val="single" w:sz="4" w:space="0" w:color="auto"/>
              <w:bottom w:val="single" w:sz="4" w:space="0" w:color="000000"/>
              <w:right w:val="single" w:sz="4" w:space="0" w:color="000000"/>
            </w:tcBorders>
            <w:shd w:val="clear" w:color="F7FAFC" w:fill="F7FAFC"/>
            <w:noWrap/>
            <w:vAlign w:val="center"/>
            <w:hideMark/>
          </w:tcPr>
          <w:p w14:paraId="154DD426"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Policy rate (percent) 3/</w:t>
            </w:r>
          </w:p>
        </w:tc>
        <w:tc>
          <w:tcPr>
            <w:tcW w:w="717" w:type="dxa"/>
            <w:tcBorders>
              <w:top w:val="nil"/>
              <w:left w:val="nil"/>
              <w:bottom w:val="single" w:sz="4" w:space="0" w:color="000000"/>
              <w:right w:val="single" w:sz="4" w:space="0" w:color="000000"/>
            </w:tcBorders>
            <w:shd w:val="clear" w:color="F7FAFC" w:fill="F7FAFC"/>
            <w:noWrap/>
            <w:vAlign w:val="center"/>
            <w:hideMark/>
          </w:tcPr>
          <w:p w14:paraId="65D075A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10.3</w:t>
            </w:r>
          </w:p>
        </w:tc>
        <w:tc>
          <w:tcPr>
            <w:tcW w:w="717" w:type="dxa"/>
            <w:tcBorders>
              <w:top w:val="nil"/>
              <w:left w:val="nil"/>
              <w:bottom w:val="single" w:sz="4" w:space="0" w:color="000000"/>
              <w:right w:val="single" w:sz="4" w:space="0" w:color="000000"/>
            </w:tcBorders>
            <w:shd w:val="clear" w:color="F7FAFC" w:fill="F7FAFC"/>
            <w:noWrap/>
            <w:vAlign w:val="center"/>
            <w:hideMark/>
          </w:tcPr>
          <w:p w14:paraId="093E0B7E"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13.3</w:t>
            </w:r>
          </w:p>
        </w:tc>
        <w:tc>
          <w:tcPr>
            <w:tcW w:w="717" w:type="dxa"/>
            <w:tcBorders>
              <w:top w:val="nil"/>
              <w:left w:val="nil"/>
              <w:bottom w:val="single" w:sz="4" w:space="0" w:color="000000"/>
              <w:right w:val="single" w:sz="4" w:space="0" w:color="000000"/>
            </w:tcBorders>
            <w:shd w:val="clear" w:color="F7FAFC" w:fill="F7FAFC"/>
            <w:noWrap/>
            <w:vAlign w:val="center"/>
            <w:hideMark/>
          </w:tcPr>
          <w:p w14:paraId="2C4B9E5E"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17.3</w:t>
            </w:r>
          </w:p>
        </w:tc>
        <w:tc>
          <w:tcPr>
            <w:tcW w:w="717" w:type="dxa"/>
            <w:tcBorders>
              <w:top w:val="nil"/>
              <w:left w:val="nil"/>
              <w:bottom w:val="single" w:sz="4" w:space="0" w:color="000000"/>
              <w:right w:val="single" w:sz="4" w:space="0" w:color="000000"/>
            </w:tcBorders>
            <w:shd w:val="clear" w:color="F7FAFC" w:fill="F7FAFC"/>
            <w:noWrap/>
            <w:vAlign w:val="center"/>
            <w:hideMark/>
          </w:tcPr>
          <w:p w14:paraId="6C073B7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17.3</w:t>
            </w:r>
          </w:p>
        </w:tc>
        <w:tc>
          <w:tcPr>
            <w:tcW w:w="717" w:type="dxa"/>
            <w:tcBorders>
              <w:top w:val="nil"/>
              <w:left w:val="nil"/>
              <w:bottom w:val="single" w:sz="4" w:space="0" w:color="000000"/>
              <w:right w:val="single" w:sz="4" w:space="0" w:color="000000"/>
            </w:tcBorders>
            <w:shd w:val="clear" w:color="F7FAFC" w:fill="F7FAFC"/>
            <w:noWrap/>
            <w:vAlign w:val="center"/>
            <w:hideMark/>
          </w:tcPr>
          <w:p w14:paraId="6C810A5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15.0</w:t>
            </w:r>
          </w:p>
        </w:tc>
        <w:tc>
          <w:tcPr>
            <w:tcW w:w="717" w:type="dxa"/>
            <w:tcBorders>
              <w:top w:val="nil"/>
              <w:left w:val="nil"/>
              <w:bottom w:val="single" w:sz="4" w:space="0" w:color="000000"/>
              <w:right w:val="single" w:sz="4" w:space="0" w:color="000000"/>
            </w:tcBorders>
            <w:shd w:val="clear" w:color="F7FAFC" w:fill="F7FAFC"/>
            <w:noWrap/>
            <w:vAlign w:val="center"/>
            <w:hideMark/>
          </w:tcPr>
          <w:p w14:paraId="2D776C3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w:t>
            </w:r>
          </w:p>
        </w:tc>
        <w:tc>
          <w:tcPr>
            <w:tcW w:w="717" w:type="dxa"/>
            <w:tcBorders>
              <w:top w:val="nil"/>
              <w:left w:val="nil"/>
              <w:bottom w:val="single" w:sz="4" w:space="0" w:color="000000"/>
              <w:right w:val="single" w:sz="4" w:space="0" w:color="000000"/>
            </w:tcBorders>
            <w:shd w:val="clear" w:color="F7FAFC" w:fill="F7FAFC"/>
            <w:noWrap/>
            <w:vAlign w:val="center"/>
            <w:hideMark/>
          </w:tcPr>
          <w:p w14:paraId="597FA9D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w:t>
            </w:r>
          </w:p>
        </w:tc>
        <w:tc>
          <w:tcPr>
            <w:tcW w:w="717" w:type="dxa"/>
            <w:tcBorders>
              <w:top w:val="nil"/>
              <w:left w:val="nil"/>
              <w:bottom w:val="single" w:sz="4" w:space="0" w:color="000000"/>
              <w:right w:val="single" w:sz="4" w:space="0" w:color="000000"/>
            </w:tcBorders>
            <w:shd w:val="clear" w:color="F7FAFC" w:fill="F7FAFC"/>
            <w:noWrap/>
            <w:vAlign w:val="center"/>
            <w:hideMark/>
          </w:tcPr>
          <w:p w14:paraId="11A35C7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w:t>
            </w:r>
          </w:p>
        </w:tc>
        <w:tc>
          <w:tcPr>
            <w:tcW w:w="717" w:type="dxa"/>
            <w:tcBorders>
              <w:top w:val="nil"/>
              <w:left w:val="nil"/>
              <w:bottom w:val="single" w:sz="4" w:space="0" w:color="000000"/>
              <w:right w:val="single" w:sz="4" w:space="0" w:color="000000"/>
            </w:tcBorders>
            <w:shd w:val="clear" w:color="F7FAFC" w:fill="F7FAFC"/>
            <w:noWrap/>
            <w:vAlign w:val="center"/>
            <w:hideMark/>
          </w:tcPr>
          <w:p w14:paraId="4320413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w:t>
            </w:r>
          </w:p>
        </w:tc>
        <w:tc>
          <w:tcPr>
            <w:tcW w:w="717" w:type="dxa"/>
            <w:tcBorders>
              <w:top w:val="nil"/>
              <w:left w:val="nil"/>
              <w:bottom w:val="single" w:sz="4" w:space="0" w:color="000000"/>
              <w:right w:val="single" w:sz="4" w:space="0" w:color="000000"/>
            </w:tcBorders>
            <w:shd w:val="clear" w:color="F7FAFC" w:fill="F7FAFC"/>
            <w:noWrap/>
            <w:vAlign w:val="center"/>
            <w:hideMark/>
          </w:tcPr>
          <w:p w14:paraId="4773977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w:t>
            </w:r>
          </w:p>
        </w:tc>
        <w:tc>
          <w:tcPr>
            <w:tcW w:w="671" w:type="dxa"/>
            <w:tcBorders>
              <w:top w:val="nil"/>
              <w:left w:val="nil"/>
              <w:bottom w:val="single" w:sz="4" w:space="0" w:color="000000"/>
              <w:right w:val="single" w:sz="4" w:space="0" w:color="auto"/>
            </w:tcBorders>
            <w:shd w:val="clear" w:color="F7FAFC" w:fill="F7FAFC"/>
            <w:noWrap/>
            <w:vAlign w:val="center"/>
            <w:hideMark/>
          </w:tcPr>
          <w:p w14:paraId="388706C0"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w:t>
            </w:r>
          </w:p>
        </w:tc>
      </w:tr>
      <w:tr w:rsidR="00D47C54" w:rsidRPr="00D47C54" w14:paraId="218B4F5B" w14:textId="77777777" w:rsidTr="00D767EF">
        <w:trPr>
          <w:trHeight w:val="300"/>
        </w:trPr>
        <w:tc>
          <w:tcPr>
            <w:tcW w:w="11243" w:type="dxa"/>
            <w:gridSpan w:val="12"/>
            <w:tcBorders>
              <w:top w:val="single" w:sz="4" w:space="0" w:color="000000"/>
              <w:left w:val="single" w:sz="4" w:space="0" w:color="auto"/>
              <w:bottom w:val="single" w:sz="4" w:space="0" w:color="000000"/>
              <w:right w:val="single" w:sz="4" w:space="0" w:color="auto"/>
            </w:tcBorders>
            <w:shd w:val="clear" w:color="EBF8FF" w:fill="EBF8FF"/>
            <w:noWrap/>
            <w:vAlign w:val="center"/>
            <w:hideMark/>
          </w:tcPr>
          <w:p w14:paraId="32848912" w14:textId="77777777" w:rsidR="00D47C54" w:rsidRPr="0002513C" w:rsidRDefault="00D47C54" w:rsidP="00D47C54">
            <w:pPr>
              <w:spacing w:after="0" w:line="240" w:lineRule="auto"/>
              <w:rPr>
                <w:rFonts w:ascii="Times New Roman" w:eastAsia="Times New Roman" w:hAnsi="Times New Roman" w:cs="Times New Roman"/>
                <w:b/>
                <w:bCs/>
                <w:color w:val="1F497D"/>
                <w:sz w:val="20"/>
                <w:szCs w:val="20"/>
                <w:lang w:eastAsia="en-IN" w:bidi="bn-IN"/>
              </w:rPr>
            </w:pPr>
            <w:r w:rsidRPr="0002513C">
              <w:rPr>
                <w:rFonts w:ascii="Times New Roman" w:eastAsia="Times New Roman" w:hAnsi="Times New Roman" w:cs="Times New Roman"/>
                <w:b/>
                <w:bCs/>
                <w:color w:val="1F497D"/>
                <w:sz w:val="20"/>
                <w:szCs w:val="20"/>
                <w:lang w:eastAsia="en-IN" w:bidi="bn-IN"/>
              </w:rPr>
              <w:t>External sector (Percent of GDP, unless otherwise indicated)</w:t>
            </w:r>
          </w:p>
        </w:tc>
      </w:tr>
      <w:tr w:rsidR="00D47C54" w:rsidRPr="00D47C54" w14:paraId="2E8315C1" w14:textId="77777777" w:rsidTr="00D767EF">
        <w:trPr>
          <w:trHeight w:val="300"/>
        </w:trPr>
        <w:tc>
          <w:tcPr>
            <w:tcW w:w="3402" w:type="dxa"/>
            <w:tcBorders>
              <w:top w:val="nil"/>
              <w:left w:val="single" w:sz="4" w:space="0" w:color="auto"/>
              <w:bottom w:val="single" w:sz="4" w:space="0" w:color="000000"/>
              <w:right w:val="single" w:sz="4" w:space="0" w:color="000000"/>
            </w:tcBorders>
            <w:shd w:val="clear" w:color="F7FAFC" w:fill="F7FAFC"/>
            <w:noWrap/>
            <w:vAlign w:val="center"/>
            <w:hideMark/>
          </w:tcPr>
          <w:p w14:paraId="78702B66"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Current account balance</w:t>
            </w:r>
          </w:p>
        </w:tc>
        <w:tc>
          <w:tcPr>
            <w:tcW w:w="717" w:type="dxa"/>
            <w:tcBorders>
              <w:top w:val="nil"/>
              <w:left w:val="nil"/>
              <w:bottom w:val="single" w:sz="4" w:space="0" w:color="000000"/>
              <w:right w:val="single" w:sz="4" w:space="0" w:color="000000"/>
            </w:tcBorders>
            <w:shd w:val="clear" w:color="F7FAFC" w:fill="F7FAFC"/>
            <w:noWrap/>
            <w:vAlign w:val="center"/>
            <w:hideMark/>
          </w:tcPr>
          <w:p w14:paraId="023DE3F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-26.2</w:t>
            </w:r>
          </w:p>
        </w:tc>
        <w:tc>
          <w:tcPr>
            <w:tcW w:w="717" w:type="dxa"/>
            <w:tcBorders>
              <w:top w:val="nil"/>
              <w:left w:val="nil"/>
              <w:bottom w:val="single" w:sz="4" w:space="0" w:color="000000"/>
              <w:right w:val="single" w:sz="4" w:space="0" w:color="000000"/>
            </w:tcBorders>
            <w:shd w:val="clear" w:color="F7FAFC" w:fill="F7FAFC"/>
            <w:noWrap/>
            <w:vAlign w:val="center"/>
            <w:hideMark/>
          </w:tcPr>
          <w:p w14:paraId="1B60252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-20.4</w:t>
            </w:r>
          </w:p>
        </w:tc>
        <w:tc>
          <w:tcPr>
            <w:tcW w:w="717" w:type="dxa"/>
            <w:tcBorders>
              <w:top w:val="nil"/>
              <w:left w:val="nil"/>
              <w:bottom w:val="single" w:sz="4" w:space="0" w:color="000000"/>
              <w:right w:val="single" w:sz="4" w:space="0" w:color="000000"/>
            </w:tcBorders>
            <w:shd w:val="clear" w:color="F7FAFC" w:fill="F7FAFC"/>
            <w:noWrap/>
            <w:vAlign w:val="center"/>
            <w:hideMark/>
          </w:tcPr>
          <w:p w14:paraId="527ECEA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-33.7</w:t>
            </w:r>
          </w:p>
        </w:tc>
        <w:tc>
          <w:tcPr>
            <w:tcW w:w="717" w:type="dxa"/>
            <w:tcBorders>
              <w:top w:val="nil"/>
              <w:left w:val="nil"/>
              <w:bottom w:val="single" w:sz="4" w:space="0" w:color="000000"/>
              <w:right w:val="single" w:sz="4" w:space="0" w:color="000000"/>
            </w:tcBorders>
            <w:shd w:val="clear" w:color="F7FAFC" w:fill="F7FAFC"/>
            <w:noWrap/>
            <w:vAlign w:val="center"/>
            <w:hideMark/>
          </w:tcPr>
          <w:p w14:paraId="65CB641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-10.6</w:t>
            </w:r>
          </w:p>
        </w:tc>
        <w:tc>
          <w:tcPr>
            <w:tcW w:w="717" w:type="dxa"/>
            <w:tcBorders>
              <w:top w:val="nil"/>
              <w:left w:val="nil"/>
              <w:bottom w:val="single" w:sz="4" w:space="0" w:color="000000"/>
              <w:right w:val="single" w:sz="4" w:space="0" w:color="000000"/>
            </w:tcBorders>
            <w:shd w:val="clear" w:color="F7FAFC" w:fill="F7FAFC"/>
            <w:noWrap/>
            <w:vAlign w:val="center"/>
            <w:hideMark/>
          </w:tcPr>
          <w:p w14:paraId="46CC9F40"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-11.0</w:t>
            </w:r>
          </w:p>
        </w:tc>
        <w:tc>
          <w:tcPr>
            <w:tcW w:w="717" w:type="dxa"/>
            <w:tcBorders>
              <w:top w:val="nil"/>
              <w:left w:val="nil"/>
              <w:bottom w:val="single" w:sz="4" w:space="0" w:color="000000"/>
              <w:right w:val="single" w:sz="4" w:space="0" w:color="000000"/>
            </w:tcBorders>
            <w:shd w:val="clear" w:color="F7FAFC" w:fill="F7FAFC"/>
            <w:noWrap/>
            <w:vAlign w:val="center"/>
            <w:hideMark/>
          </w:tcPr>
          <w:p w14:paraId="3306379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-13.2</w:t>
            </w:r>
          </w:p>
        </w:tc>
        <w:tc>
          <w:tcPr>
            <w:tcW w:w="717" w:type="dxa"/>
            <w:tcBorders>
              <w:top w:val="nil"/>
              <w:left w:val="nil"/>
              <w:bottom w:val="single" w:sz="4" w:space="0" w:color="000000"/>
              <w:right w:val="single" w:sz="4" w:space="0" w:color="000000"/>
            </w:tcBorders>
            <w:shd w:val="clear" w:color="F7FAFC" w:fill="F7FAFC"/>
            <w:noWrap/>
            <w:vAlign w:val="center"/>
            <w:hideMark/>
          </w:tcPr>
          <w:p w14:paraId="109041F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-32.3</w:t>
            </w:r>
          </w:p>
        </w:tc>
        <w:tc>
          <w:tcPr>
            <w:tcW w:w="717" w:type="dxa"/>
            <w:tcBorders>
              <w:top w:val="nil"/>
              <w:left w:val="nil"/>
              <w:bottom w:val="single" w:sz="4" w:space="0" w:color="000000"/>
              <w:right w:val="single" w:sz="4" w:space="0" w:color="000000"/>
            </w:tcBorders>
            <w:shd w:val="clear" w:color="F7FAFC" w:fill="F7FAFC"/>
            <w:noWrap/>
            <w:vAlign w:val="center"/>
            <w:hideMark/>
          </w:tcPr>
          <w:p w14:paraId="093EDEC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-33.5</w:t>
            </w:r>
          </w:p>
        </w:tc>
        <w:tc>
          <w:tcPr>
            <w:tcW w:w="717" w:type="dxa"/>
            <w:tcBorders>
              <w:top w:val="nil"/>
              <w:left w:val="nil"/>
              <w:bottom w:val="single" w:sz="4" w:space="0" w:color="000000"/>
              <w:right w:val="single" w:sz="4" w:space="0" w:color="000000"/>
            </w:tcBorders>
            <w:shd w:val="clear" w:color="F7FAFC" w:fill="F7FAFC"/>
            <w:noWrap/>
            <w:vAlign w:val="center"/>
            <w:hideMark/>
          </w:tcPr>
          <w:p w14:paraId="4BF5F19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-30.8</w:t>
            </w:r>
          </w:p>
        </w:tc>
        <w:tc>
          <w:tcPr>
            <w:tcW w:w="717" w:type="dxa"/>
            <w:tcBorders>
              <w:top w:val="nil"/>
              <w:left w:val="nil"/>
              <w:bottom w:val="single" w:sz="4" w:space="0" w:color="000000"/>
              <w:right w:val="single" w:sz="4" w:space="0" w:color="000000"/>
            </w:tcBorders>
            <w:shd w:val="clear" w:color="F7FAFC" w:fill="F7FAFC"/>
            <w:noWrap/>
            <w:vAlign w:val="center"/>
            <w:hideMark/>
          </w:tcPr>
          <w:p w14:paraId="3541A0D2"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-25.7</w:t>
            </w:r>
          </w:p>
        </w:tc>
        <w:tc>
          <w:tcPr>
            <w:tcW w:w="671" w:type="dxa"/>
            <w:tcBorders>
              <w:top w:val="nil"/>
              <w:left w:val="nil"/>
              <w:bottom w:val="single" w:sz="4" w:space="0" w:color="000000"/>
              <w:right w:val="single" w:sz="4" w:space="0" w:color="auto"/>
            </w:tcBorders>
            <w:shd w:val="clear" w:color="F7FAFC" w:fill="F7FAFC"/>
            <w:noWrap/>
            <w:vAlign w:val="center"/>
            <w:hideMark/>
          </w:tcPr>
          <w:p w14:paraId="31C35AE7"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-12.4</w:t>
            </w:r>
          </w:p>
        </w:tc>
      </w:tr>
      <w:tr w:rsidR="00D47C54" w:rsidRPr="00D47C54" w14:paraId="1E2B1BC7" w14:textId="77777777" w:rsidTr="00D767EF">
        <w:trPr>
          <w:trHeight w:val="300"/>
        </w:trPr>
        <w:tc>
          <w:tcPr>
            <w:tcW w:w="3402" w:type="dxa"/>
            <w:tcBorders>
              <w:top w:val="nil"/>
              <w:left w:val="single" w:sz="4" w:space="0" w:color="auto"/>
              <w:bottom w:val="single" w:sz="4" w:space="0" w:color="000000"/>
              <w:right w:val="single" w:sz="4" w:space="0" w:color="000000"/>
            </w:tcBorders>
            <w:noWrap/>
            <w:vAlign w:val="center"/>
            <w:hideMark/>
          </w:tcPr>
          <w:p w14:paraId="75E64BAD"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excl. megaprojects</w:t>
            </w:r>
          </w:p>
        </w:tc>
        <w:tc>
          <w:tcPr>
            <w:tcW w:w="717" w:type="dxa"/>
            <w:tcBorders>
              <w:top w:val="nil"/>
              <w:left w:val="nil"/>
              <w:bottom w:val="single" w:sz="4" w:space="0" w:color="000000"/>
              <w:right w:val="single" w:sz="4" w:space="0" w:color="000000"/>
            </w:tcBorders>
            <w:noWrap/>
            <w:vAlign w:val="center"/>
            <w:hideMark/>
          </w:tcPr>
          <w:p w14:paraId="1EF21F6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-27.9</w:t>
            </w:r>
          </w:p>
        </w:tc>
        <w:tc>
          <w:tcPr>
            <w:tcW w:w="717" w:type="dxa"/>
            <w:tcBorders>
              <w:top w:val="nil"/>
              <w:left w:val="nil"/>
              <w:bottom w:val="single" w:sz="4" w:space="0" w:color="000000"/>
              <w:right w:val="single" w:sz="4" w:space="0" w:color="000000"/>
            </w:tcBorders>
            <w:noWrap/>
            <w:vAlign w:val="center"/>
            <w:hideMark/>
          </w:tcPr>
          <w:p w14:paraId="49AAF66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-32.8</w:t>
            </w:r>
          </w:p>
        </w:tc>
        <w:tc>
          <w:tcPr>
            <w:tcW w:w="717" w:type="dxa"/>
            <w:tcBorders>
              <w:top w:val="nil"/>
              <w:left w:val="nil"/>
              <w:bottom w:val="single" w:sz="4" w:space="0" w:color="000000"/>
              <w:right w:val="single" w:sz="4" w:space="0" w:color="000000"/>
            </w:tcBorders>
            <w:noWrap/>
            <w:vAlign w:val="center"/>
            <w:hideMark/>
          </w:tcPr>
          <w:p w14:paraId="3EBB944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-27.4</w:t>
            </w:r>
          </w:p>
        </w:tc>
        <w:tc>
          <w:tcPr>
            <w:tcW w:w="717" w:type="dxa"/>
            <w:tcBorders>
              <w:top w:val="nil"/>
              <w:left w:val="nil"/>
              <w:bottom w:val="single" w:sz="4" w:space="0" w:color="000000"/>
              <w:right w:val="single" w:sz="4" w:space="0" w:color="000000"/>
            </w:tcBorders>
            <w:noWrap/>
            <w:vAlign w:val="center"/>
            <w:hideMark/>
          </w:tcPr>
          <w:p w14:paraId="3D35215E"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-26.9</w:t>
            </w:r>
          </w:p>
        </w:tc>
        <w:tc>
          <w:tcPr>
            <w:tcW w:w="717" w:type="dxa"/>
            <w:tcBorders>
              <w:top w:val="nil"/>
              <w:left w:val="nil"/>
              <w:bottom w:val="single" w:sz="4" w:space="0" w:color="000000"/>
              <w:right w:val="single" w:sz="4" w:space="0" w:color="000000"/>
            </w:tcBorders>
            <w:noWrap/>
            <w:vAlign w:val="center"/>
            <w:hideMark/>
          </w:tcPr>
          <w:p w14:paraId="3A4DF35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-20.5</w:t>
            </w:r>
          </w:p>
        </w:tc>
        <w:tc>
          <w:tcPr>
            <w:tcW w:w="717" w:type="dxa"/>
            <w:tcBorders>
              <w:top w:val="nil"/>
              <w:left w:val="nil"/>
              <w:bottom w:val="single" w:sz="4" w:space="0" w:color="000000"/>
              <w:right w:val="single" w:sz="4" w:space="0" w:color="000000"/>
            </w:tcBorders>
            <w:noWrap/>
            <w:vAlign w:val="center"/>
            <w:hideMark/>
          </w:tcPr>
          <w:p w14:paraId="5B7DCC97"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-16.7</w:t>
            </w:r>
          </w:p>
        </w:tc>
        <w:tc>
          <w:tcPr>
            <w:tcW w:w="717" w:type="dxa"/>
            <w:tcBorders>
              <w:top w:val="nil"/>
              <w:left w:val="nil"/>
              <w:bottom w:val="single" w:sz="4" w:space="0" w:color="000000"/>
              <w:right w:val="single" w:sz="4" w:space="0" w:color="000000"/>
            </w:tcBorders>
            <w:noWrap/>
            <w:vAlign w:val="center"/>
            <w:hideMark/>
          </w:tcPr>
          <w:p w14:paraId="041E913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-16.5</w:t>
            </w:r>
          </w:p>
        </w:tc>
        <w:tc>
          <w:tcPr>
            <w:tcW w:w="717" w:type="dxa"/>
            <w:tcBorders>
              <w:top w:val="nil"/>
              <w:left w:val="nil"/>
              <w:bottom w:val="single" w:sz="4" w:space="0" w:color="000000"/>
              <w:right w:val="single" w:sz="4" w:space="0" w:color="000000"/>
            </w:tcBorders>
            <w:noWrap/>
            <w:vAlign w:val="center"/>
            <w:hideMark/>
          </w:tcPr>
          <w:p w14:paraId="23B625C7"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-16.6</w:t>
            </w:r>
          </w:p>
        </w:tc>
        <w:tc>
          <w:tcPr>
            <w:tcW w:w="717" w:type="dxa"/>
            <w:tcBorders>
              <w:top w:val="nil"/>
              <w:left w:val="nil"/>
              <w:bottom w:val="single" w:sz="4" w:space="0" w:color="000000"/>
              <w:right w:val="single" w:sz="4" w:space="0" w:color="000000"/>
            </w:tcBorders>
            <w:noWrap/>
            <w:vAlign w:val="center"/>
            <w:hideMark/>
          </w:tcPr>
          <w:p w14:paraId="1DD4169E"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-16.0</w:t>
            </w:r>
          </w:p>
        </w:tc>
        <w:tc>
          <w:tcPr>
            <w:tcW w:w="717" w:type="dxa"/>
            <w:tcBorders>
              <w:top w:val="nil"/>
              <w:left w:val="nil"/>
              <w:bottom w:val="single" w:sz="4" w:space="0" w:color="000000"/>
              <w:right w:val="single" w:sz="4" w:space="0" w:color="000000"/>
            </w:tcBorders>
            <w:noWrap/>
            <w:vAlign w:val="center"/>
            <w:hideMark/>
          </w:tcPr>
          <w:p w14:paraId="6C745E4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-15.8</w:t>
            </w:r>
          </w:p>
        </w:tc>
        <w:tc>
          <w:tcPr>
            <w:tcW w:w="671" w:type="dxa"/>
            <w:tcBorders>
              <w:top w:val="nil"/>
              <w:left w:val="nil"/>
              <w:bottom w:val="single" w:sz="4" w:space="0" w:color="000000"/>
              <w:right w:val="single" w:sz="4" w:space="0" w:color="auto"/>
            </w:tcBorders>
            <w:noWrap/>
            <w:vAlign w:val="center"/>
            <w:hideMark/>
          </w:tcPr>
          <w:p w14:paraId="47518A15"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-14.7</w:t>
            </w:r>
          </w:p>
        </w:tc>
      </w:tr>
      <w:tr w:rsidR="00D47C54" w:rsidRPr="00D47C54" w14:paraId="6D8A4EFC" w14:textId="77777777" w:rsidTr="00D767EF">
        <w:trPr>
          <w:trHeight w:val="300"/>
        </w:trPr>
        <w:tc>
          <w:tcPr>
            <w:tcW w:w="3402" w:type="dxa"/>
            <w:tcBorders>
              <w:top w:val="nil"/>
              <w:left w:val="single" w:sz="4" w:space="0" w:color="auto"/>
              <w:bottom w:val="single" w:sz="4" w:space="0" w:color="000000"/>
              <w:right w:val="single" w:sz="4" w:space="0" w:color="000000"/>
            </w:tcBorders>
            <w:shd w:val="clear" w:color="F7FAFC" w:fill="F7FAFC"/>
            <w:noWrap/>
            <w:vAlign w:val="center"/>
            <w:hideMark/>
          </w:tcPr>
          <w:p w14:paraId="76D55417"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excl. megaprojects (MP) and indirect MP imports</w:t>
            </w:r>
          </w:p>
        </w:tc>
        <w:tc>
          <w:tcPr>
            <w:tcW w:w="717" w:type="dxa"/>
            <w:tcBorders>
              <w:top w:val="nil"/>
              <w:left w:val="nil"/>
              <w:bottom w:val="single" w:sz="4" w:space="0" w:color="000000"/>
              <w:right w:val="single" w:sz="4" w:space="0" w:color="000000"/>
            </w:tcBorders>
            <w:shd w:val="clear" w:color="F7FAFC" w:fill="F7FAFC"/>
            <w:noWrap/>
            <w:vAlign w:val="center"/>
            <w:hideMark/>
          </w:tcPr>
          <w:p w14:paraId="7107FC6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-17.9</w:t>
            </w:r>
          </w:p>
        </w:tc>
        <w:tc>
          <w:tcPr>
            <w:tcW w:w="717" w:type="dxa"/>
            <w:tcBorders>
              <w:top w:val="nil"/>
              <w:left w:val="nil"/>
              <w:bottom w:val="single" w:sz="4" w:space="0" w:color="000000"/>
              <w:right w:val="single" w:sz="4" w:space="0" w:color="000000"/>
            </w:tcBorders>
            <w:shd w:val="clear" w:color="F7FAFC" w:fill="F7FAFC"/>
            <w:noWrap/>
            <w:vAlign w:val="center"/>
            <w:hideMark/>
          </w:tcPr>
          <w:p w14:paraId="5A6AD39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-20.6</w:t>
            </w:r>
          </w:p>
        </w:tc>
        <w:tc>
          <w:tcPr>
            <w:tcW w:w="717" w:type="dxa"/>
            <w:tcBorders>
              <w:top w:val="nil"/>
              <w:left w:val="nil"/>
              <w:bottom w:val="single" w:sz="4" w:space="0" w:color="000000"/>
              <w:right w:val="single" w:sz="4" w:space="0" w:color="000000"/>
            </w:tcBorders>
            <w:shd w:val="clear" w:color="F7FAFC" w:fill="F7FAFC"/>
            <w:noWrap/>
            <w:vAlign w:val="center"/>
            <w:hideMark/>
          </w:tcPr>
          <w:p w14:paraId="4F44D991"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-18.0</w:t>
            </w:r>
          </w:p>
        </w:tc>
        <w:tc>
          <w:tcPr>
            <w:tcW w:w="717" w:type="dxa"/>
            <w:tcBorders>
              <w:top w:val="nil"/>
              <w:left w:val="nil"/>
              <w:bottom w:val="single" w:sz="4" w:space="0" w:color="000000"/>
              <w:right w:val="single" w:sz="4" w:space="0" w:color="000000"/>
            </w:tcBorders>
            <w:shd w:val="clear" w:color="F7FAFC" w:fill="F7FAFC"/>
            <w:noWrap/>
            <w:vAlign w:val="center"/>
            <w:hideMark/>
          </w:tcPr>
          <w:p w14:paraId="1F5B7DF9"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-18.3</w:t>
            </w:r>
          </w:p>
        </w:tc>
        <w:tc>
          <w:tcPr>
            <w:tcW w:w="717" w:type="dxa"/>
            <w:tcBorders>
              <w:top w:val="nil"/>
              <w:left w:val="nil"/>
              <w:bottom w:val="single" w:sz="4" w:space="0" w:color="000000"/>
              <w:right w:val="single" w:sz="4" w:space="0" w:color="000000"/>
            </w:tcBorders>
            <w:shd w:val="clear" w:color="F7FAFC" w:fill="F7FAFC"/>
            <w:noWrap/>
            <w:vAlign w:val="center"/>
            <w:hideMark/>
          </w:tcPr>
          <w:p w14:paraId="13FC7B52"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-13.4</w:t>
            </w:r>
          </w:p>
        </w:tc>
        <w:tc>
          <w:tcPr>
            <w:tcW w:w="717" w:type="dxa"/>
            <w:tcBorders>
              <w:top w:val="nil"/>
              <w:left w:val="nil"/>
              <w:bottom w:val="single" w:sz="4" w:space="0" w:color="000000"/>
              <w:right w:val="single" w:sz="4" w:space="0" w:color="000000"/>
            </w:tcBorders>
            <w:shd w:val="clear" w:color="F7FAFC" w:fill="F7FAFC"/>
            <w:noWrap/>
            <w:vAlign w:val="center"/>
            <w:hideMark/>
          </w:tcPr>
          <w:p w14:paraId="5813C5A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-11.8</w:t>
            </w:r>
          </w:p>
        </w:tc>
        <w:tc>
          <w:tcPr>
            <w:tcW w:w="717" w:type="dxa"/>
            <w:tcBorders>
              <w:top w:val="nil"/>
              <w:left w:val="nil"/>
              <w:bottom w:val="single" w:sz="4" w:space="0" w:color="000000"/>
              <w:right w:val="single" w:sz="4" w:space="0" w:color="000000"/>
            </w:tcBorders>
            <w:shd w:val="clear" w:color="F7FAFC" w:fill="F7FAFC"/>
            <w:noWrap/>
            <w:vAlign w:val="center"/>
            <w:hideMark/>
          </w:tcPr>
          <w:p w14:paraId="0992F28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-11.9</w:t>
            </w:r>
          </w:p>
        </w:tc>
        <w:tc>
          <w:tcPr>
            <w:tcW w:w="717" w:type="dxa"/>
            <w:tcBorders>
              <w:top w:val="nil"/>
              <w:left w:val="nil"/>
              <w:bottom w:val="single" w:sz="4" w:space="0" w:color="000000"/>
              <w:right w:val="single" w:sz="4" w:space="0" w:color="000000"/>
            </w:tcBorders>
            <w:shd w:val="clear" w:color="F7FAFC" w:fill="F7FAFC"/>
            <w:noWrap/>
            <w:vAlign w:val="center"/>
            <w:hideMark/>
          </w:tcPr>
          <w:p w14:paraId="656F3B3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-12.0</w:t>
            </w:r>
          </w:p>
        </w:tc>
        <w:tc>
          <w:tcPr>
            <w:tcW w:w="717" w:type="dxa"/>
            <w:tcBorders>
              <w:top w:val="nil"/>
              <w:left w:val="nil"/>
              <w:bottom w:val="single" w:sz="4" w:space="0" w:color="000000"/>
              <w:right w:val="single" w:sz="4" w:space="0" w:color="000000"/>
            </w:tcBorders>
            <w:shd w:val="clear" w:color="F7FAFC" w:fill="F7FAFC"/>
            <w:noWrap/>
            <w:vAlign w:val="center"/>
            <w:hideMark/>
          </w:tcPr>
          <w:p w14:paraId="773EEDA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-11.4</w:t>
            </w:r>
          </w:p>
        </w:tc>
        <w:tc>
          <w:tcPr>
            <w:tcW w:w="717" w:type="dxa"/>
            <w:tcBorders>
              <w:top w:val="nil"/>
              <w:left w:val="nil"/>
              <w:bottom w:val="single" w:sz="4" w:space="0" w:color="000000"/>
              <w:right w:val="single" w:sz="4" w:space="0" w:color="000000"/>
            </w:tcBorders>
            <w:shd w:val="clear" w:color="F7FAFC" w:fill="F7FAFC"/>
            <w:noWrap/>
            <w:vAlign w:val="center"/>
            <w:hideMark/>
          </w:tcPr>
          <w:p w14:paraId="4430804E"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-11.1</w:t>
            </w:r>
          </w:p>
        </w:tc>
        <w:tc>
          <w:tcPr>
            <w:tcW w:w="671" w:type="dxa"/>
            <w:tcBorders>
              <w:top w:val="nil"/>
              <w:left w:val="nil"/>
              <w:bottom w:val="single" w:sz="4" w:space="0" w:color="000000"/>
              <w:right w:val="single" w:sz="4" w:space="0" w:color="auto"/>
            </w:tcBorders>
            <w:shd w:val="clear" w:color="F7FAFC" w:fill="F7FAFC"/>
            <w:noWrap/>
            <w:vAlign w:val="center"/>
            <w:hideMark/>
          </w:tcPr>
          <w:p w14:paraId="13B6F965"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-10.4</w:t>
            </w:r>
          </w:p>
        </w:tc>
      </w:tr>
      <w:tr w:rsidR="00D47C54" w:rsidRPr="00D47C54" w14:paraId="2CD3710D" w14:textId="77777777" w:rsidTr="00D767EF">
        <w:trPr>
          <w:trHeight w:val="300"/>
        </w:trPr>
        <w:tc>
          <w:tcPr>
            <w:tcW w:w="3402" w:type="dxa"/>
            <w:tcBorders>
              <w:top w:val="nil"/>
              <w:left w:val="single" w:sz="4" w:space="0" w:color="auto"/>
              <w:bottom w:val="single" w:sz="4" w:space="0" w:color="000000"/>
              <w:right w:val="single" w:sz="4" w:space="0" w:color="000000"/>
            </w:tcBorders>
            <w:noWrap/>
            <w:vAlign w:val="center"/>
            <w:hideMark/>
          </w:tcPr>
          <w:p w14:paraId="6E051BB2"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Merchandise exports</w:t>
            </w:r>
          </w:p>
        </w:tc>
        <w:tc>
          <w:tcPr>
            <w:tcW w:w="717" w:type="dxa"/>
            <w:tcBorders>
              <w:top w:val="nil"/>
              <w:left w:val="nil"/>
              <w:bottom w:val="single" w:sz="4" w:space="0" w:color="000000"/>
              <w:right w:val="single" w:sz="4" w:space="0" w:color="000000"/>
            </w:tcBorders>
            <w:noWrap/>
            <w:vAlign w:val="center"/>
            <w:hideMark/>
          </w:tcPr>
          <w:p w14:paraId="55046922"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26.1</w:t>
            </w:r>
          </w:p>
        </w:tc>
        <w:tc>
          <w:tcPr>
            <w:tcW w:w="717" w:type="dxa"/>
            <w:tcBorders>
              <w:top w:val="nil"/>
              <w:left w:val="nil"/>
              <w:bottom w:val="single" w:sz="4" w:space="0" w:color="000000"/>
              <w:right w:val="single" w:sz="4" w:space="0" w:color="000000"/>
            </w:tcBorders>
            <w:noWrap/>
            <w:vAlign w:val="center"/>
            <w:hideMark/>
          </w:tcPr>
          <w:p w14:paraId="254225B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35.3</w:t>
            </w:r>
          </w:p>
        </w:tc>
        <w:tc>
          <w:tcPr>
            <w:tcW w:w="717" w:type="dxa"/>
            <w:tcBorders>
              <w:top w:val="nil"/>
              <w:left w:val="nil"/>
              <w:bottom w:val="single" w:sz="4" w:space="0" w:color="000000"/>
              <w:right w:val="single" w:sz="4" w:space="0" w:color="000000"/>
            </w:tcBorders>
            <w:noWrap/>
            <w:vAlign w:val="center"/>
            <w:hideMark/>
          </w:tcPr>
          <w:p w14:paraId="75AE2B61"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43.9</w:t>
            </w:r>
          </w:p>
        </w:tc>
        <w:tc>
          <w:tcPr>
            <w:tcW w:w="717" w:type="dxa"/>
            <w:tcBorders>
              <w:top w:val="nil"/>
              <w:left w:val="nil"/>
              <w:bottom w:val="single" w:sz="4" w:space="0" w:color="000000"/>
              <w:right w:val="single" w:sz="4" w:space="0" w:color="000000"/>
            </w:tcBorders>
            <w:noWrap/>
            <w:vAlign w:val="center"/>
            <w:hideMark/>
          </w:tcPr>
          <w:p w14:paraId="35C32E2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39.6</w:t>
            </w:r>
          </w:p>
        </w:tc>
        <w:tc>
          <w:tcPr>
            <w:tcW w:w="717" w:type="dxa"/>
            <w:tcBorders>
              <w:top w:val="nil"/>
              <w:left w:val="nil"/>
              <w:bottom w:val="single" w:sz="4" w:space="0" w:color="000000"/>
              <w:right w:val="single" w:sz="4" w:space="0" w:color="000000"/>
            </w:tcBorders>
            <w:noWrap/>
            <w:vAlign w:val="center"/>
            <w:hideMark/>
          </w:tcPr>
          <w:p w14:paraId="1BCDBEF9"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36.1</w:t>
            </w:r>
          </w:p>
        </w:tc>
        <w:tc>
          <w:tcPr>
            <w:tcW w:w="717" w:type="dxa"/>
            <w:tcBorders>
              <w:top w:val="nil"/>
              <w:left w:val="nil"/>
              <w:bottom w:val="single" w:sz="4" w:space="0" w:color="000000"/>
              <w:right w:val="single" w:sz="4" w:space="0" w:color="000000"/>
            </w:tcBorders>
            <w:noWrap/>
            <w:vAlign w:val="center"/>
            <w:hideMark/>
          </w:tcPr>
          <w:p w14:paraId="3F240A28"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31.5</w:t>
            </w:r>
          </w:p>
        </w:tc>
        <w:tc>
          <w:tcPr>
            <w:tcW w:w="717" w:type="dxa"/>
            <w:tcBorders>
              <w:top w:val="nil"/>
              <w:left w:val="nil"/>
              <w:bottom w:val="single" w:sz="4" w:space="0" w:color="000000"/>
              <w:right w:val="single" w:sz="4" w:space="0" w:color="000000"/>
            </w:tcBorders>
            <w:noWrap/>
            <w:vAlign w:val="center"/>
            <w:hideMark/>
          </w:tcPr>
          <w:p w14:paraId="64A6871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32.1</w:t>
            </w:r>
          </w:p>
        </w:tc>
        <w:tc>
          <w:tcPr>
            <w:tcW w:w="717" w:type="dxa"/>
            <w:tcBorders>
              <w:top w:val="nil"/>
              <w:left w:val="nil"/>
              <w:bottom w:val="single" w:sz="4" w:space="0" w:color="000000"/>
              <w:right w:val="single" w:sz="4" w:space="0" w:color="000000"/>
            </w:tcBorders>
            <w:noWrap/>
            <w:vAlign w:val="center"/>
            <w:hideMark/>
          </w:tcPr>
          <w:p w14:paraId="639A0A32"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32.1</w:t>
            </w:r>
          </w:p>
        </w:tc>
        <w:tc>
          <w:tcPr>
            <w:tcW w:w="717" w:type="dxa"/>
            <w:tcBorders>
              <w:top w:val="nil"/>
              <w:left w:val="nil"/>
              <w:bottom w:val="single" w:sz="4" w:space="0" w:color="000000"/>
              <w:right w:val="single" w:sz="4" w:space="0" w:color="000000"/>
            </w:tcBorders>
            <w:noWrap/>
            <w:vAlign w:val="center"/>
            <w:hideMark/>
          </w:tcPr>
          <w:p w14:paraId="278615E1"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32.6</w:t>
            </w:r>
          </w:p>
        </w:tc>
        <w:tc>
          <w:tcPr>
            <w:tcW w:w="717" w:type="dxa"/>
            <w:tcBorders>
              <w:top w:val="nil"/>
              <w:left w:val="nil"/>
              <w:bottom w:val="single" w:sz="4" w:space="0" w:color="000000"/>
              <w:right w:val="single" w:sz="4" w:space="0" w:color="000000"/>
            </w:tcBorders>
            <w:noWrap/>
            <w:vAlign w:val="center"/>
            <w:hideMark/>
          </w:tcPr>
          <w:p w14:paraId="5E0219E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31.7</w:t>
            </w:r>
          </w:p>
        </w:tc>
        <w:tc>
          <w:tcPr>
            <w:tcW w:w="671" w:type="dxa"/>
            <w:tcBorders>
              <w:top w:val="nil"/>
              <w:left w:val="nil"/>
              <w:bottom w:val="single" w:sz="4" w:space="0" w:color="000000"/>
              <w:right w:val="single" w:sz="4" w:space="0" w:color="auto"/>
            </w:tcBorders>
            <w:noWrap/>
            <w:vAlign w:val="center"/>
            <w:hideMark/>
          </w:tcPr>
          <w:p w14:paraId="11A973F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40.5</w:t>
            </w:r>
          </w:p>
        </w:tc>
      </w:tr>
      <w:tr w:rsidR="00D47C54" w:rsidRPr="00D47C54" w14:paraId="2E90C1F2" w14:textId="77777777" w:rsidTr="00D767EF">
        <w:trPr>
          <w:trHeight w:val="300"/>
        </w:trPr>
        <w:tc>
          <w:tcPr>
            <w:tcW w:w="3402" w:type="dxa"/>
            <w:tcBorders>
              <w:top w:val="nil"/>
              <w:left w:val="single" w:sz="4" w:space="0" w:color="auto"/>
              <w:bottom w:val="single" w:sz="4" w:space="0" w:color="000000"/>
              <w:right w:val="single" w:sz="4" w:space="0" w:color="000000"/>
            </w:tcBorders>
            <w:shd w:val="clear" w:color="F7FAFC" w:fill="F7FAFC"/>
            <w:noWrap/>
            <w:vAlign w:val="center"/>
            <w:hideMark/>
          </w:tcPr>
          <w:p w14:paraId="46A4C5C8"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excl. megaprojects</w:t>
            </w:r>
          </w:p>
        </w:tc>
        <w:tc>
          <w:tcPr>
            <w:tcW w:w="717" w:type="dxa"/>
            <w:tcBorders>
              <w:top w:val="nil"/>
              <w:left w:val="nil"/>
              <w:bottom w:val="single" w:sz="4" w:space="0" w:color="000000"/>
              <w:right w:val="single" w:sz="4" w:space="0" w:color="000000"/>
            </w:tcBorders>
            <w:shd w:val="clear" w:color="F7FAFC" w:fill="F7FAFC"/>
            <w:noWrap/>
            <w:vAlign w:val="center"/>
            <w:hideMark/>
          </w:tcPr>
          <w:p w14:paraId="3A445D21"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8.5</w:t>
            </w:r>
          </w:p>
        </w:tc>
        <w:tc>
          <w:tcPr>
            <w:tcW w:w="717" w:type="dxa"/>
            <w:tcBorders>
              <w:top w:val="nil"/>
              <w:left w:val="nil"/>
              <w:bottom w:val="single" w:sz="4" w:space="0" w:color="000000"/>
              <w:right w:val="single" w:sz="4" w:space="0" w:color="000000"/>
            </w:tcBorders>
            <w:shd w:val="clear" w:color="F7FAFC" w:fill="F7FAFC"/>
            <w:noWrap/>
            <w:vAlign w:val="center"/>
            <w:hideMark/>
          </w:tcPr>
          <w:p w14:paraId="6BB57BC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10.3</w:t>
            </w:r>
          </w:p>
        </w:tc>
        <w:tc>
          <w:tcPr>
            <w:tcW w:w="717" w:type="dxa"/>
            <w:tcBorders>
              <w:top w:val="nil"/>
              <w:left w:val="nil"/>
              <w:bottom w:val="single" w:sz="4" w:space="0" w:color="000000"/>
              <w:right w:val="single" w:sz="4" w:space="0" w:color="000000"/>
            </w:tcBorders>
            <w:shd w:val="clear" w:color="F7FAFC" w:fill="F7FAFC"/>
            <w:noWrap/>
            <w:vAlign w:val="center"/>
            <w:hideMark/>
          </w:tcPr>
          <w:p w14:paraId="2C5B45E2"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11.2</w:t>
            </w:r>
          </w:p>
        </w:tc>
        <w:tc>
          <w:tcPr>
            <w:tcW w:w="717" w:type="dxa"/>
            <w:tcBorders>
              <w:top w:val="nil"/>
              <w:left w:val="nil"/>
              <w:bottom w:val="single" w:sz="4" w:space="0" w:color="000000"/>
              <w:right w:val="single" w:sz="4" w:space="0" w:color="000000"/>
            </w:tcBorders>
            <w:shd w:val="clear" w:color="F7FAFC" w:fill="F7FAFC"/>
            <w:noWrap/>
            <w:vAlign w:val="center"/>
            <w:hideMark/>
          </w:tcPr>
          <w:p w14:paraId="4494C3D8"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9.8</w:t>
            </w:r>
          </w:p>
        </w:tc>
        <w:tc>
          <w:tcPr>
            <w:tcW w:w="717" w:type="dxa"/>
            <w:tcBorders>
              <w:top w:val="nil"/>
              <w:left w:val="nil"/>
              <w:bottom w:val="single" w:sz="4" w:space="0" w:color="000000"/>
              <w:right w:val="single" w:sz="4" w:space="0" w:color="000000"/>
            </w:tcBorders>
            <w:shd w:val="clear" w:color="F7FAFC" w:fill="F7FAFC"/>
            <w:noWrap/>
            <w:vAlign w:val="center"/>
            <w:hideMark/>
          </w:tcPr>
          <w:p w14:paraId="1A2A2005"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8.9</w:t>
            </w:r>
          </w:p>
        </w:tc>
        <w:tc>
          <w:tcPr>
            <w:tcW w:w="717" w:type="dxa"/>
            <w:tcBorders>
              <w:top w:val="nil"/>
              <w:left w:val="nil"/>
              <w:bottom w:val="single" w:sz="4" w:space="0" w:color="000000"/>
              <w:right w:val="single" w:sz="4" w:space="0" w:color="000000"/>
            </w:tcBorders>
            <w:shd w:val="clear" w:color="F7FAFC" w:fill="F7FAFC"/>
            <w:noWrap/>
            <w:vAlign w:val="center"/>
            <w:hideMark/>
          </w:tcPr>
          <w:p w14:paraId="5D1B1E88"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7.6</w:t>
            </w:r>
          </w:p>
        </w:tc>
        <w:tc>
          <w:tcPr>
            <w:tcW w:w="717" w:type="dxa"/>
            <w:tcBorders>
              <w:top w:val="nil"/>
              <w:left w:val="nil"/>
              <w:bottom w:val="single" w:sz="4" w:space="0" w:color="000000"/>
              <w:right w:val="single" w:sz="4" w:space="0" w:color="000000"/>
            </w:tcBorders>
            <w:shd w:val="clear" w:color="F7FAFC" w:fill="F7FAFC"/>
            <w:noWrap/>
            <w:vAlign w:val="center"/>
            <w:hideMark/>
          </w:tcPr>
          <w:p w14:paraId="746F228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7.4</w:t>
            </w:r>
          </w:p>
        </w:tc>
        <w:tc>
          <w:tcPr>
            <w:tcW w:w="717" w:type="dxa"/>
            <w:tcBorders>
              <w:top w:val="nil"/>
              <w:left w:val="nil"/>
              <w:bottom w:val="single" w:sz="4" w:space="0" w:color="000000"/>
              <w:right w:val="single" w:sz="4" w:space="0" w:color="000000"/>
            </w:tcBorders>
            <w:shd w:val="clear" w:color="F7FAFC" w:fill="F7FAFC"/>
            <w:noWrap/>
            <w:vAlign w:val="center"/>
            <w:hideMark/>
          </w:tcPr>
          <w:p w14:paraId="668C1D5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7.8</w:t>
            </w:r>
          </w:p>
        </w:tc>
        <w:tc>
          <w:tcPr>
            <w:tcW w:w="717" w:type="dxa"/>
            <w:tcBorders>
              <w:top w:val="nil"/>
              <w:left w:val="nil"/>
              <w:bottom w:val="single" w:sz="4" w:space="0" w:color="000000"/>
              <w:right w:val="single" w:sz="4" w:space="0" w:color="000000"/>
            </w:tcBorders>
            <w:shd w:val="clear" w:color="F7FAFC" w:fill="F7FAFC"/>
            <w:noWrap/>
            <w:vAlign w:val="center"/>
            <w:hideMark/>
          </w:tcPr>
          <w:p w14:paraId="284F328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8.2</w:t>
            </w:r>
          </w:p>
        </w:tc>
        <w:tc>
          <w:tcPr>
            <w:tcW w:w="717" w:type="dxa"/>
            <w:tcBorders>
              <w:top w:val="nil"/>
              <w:left w:val="nil"/>
              <w:bottom w:val="single" w:sz="4" w:space="0" w:color="000000"/>
              <w:right w:val="single" w:sz="4" w:space="0" w:color="000000"/>
            </w:tcBorders>
            <w:shd w:val="clear" w:color="F7FAFC" w:fill="F7FAFC"/>
            <w:noWrap/>
            <w:vAlign w:val="center"/>
            <w:hideMark/>
          </w:tcPr>
          <w:p w14:paraId="01534D27"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8.4</w:t>
            </w:r>
          </w:p>
        </w:tc>
        <w:tc>
          <w:tcPr>
            <w:tcW w:w="671" w:type="dxa"/>
            <w:tcBorders>
              <w:top w:val="nil"/>
              <w:left w:val="nil"/>
              <w:bottom w:val="single" w:sz="4" w:space="0" w:color="000000"/>
              <w:right w:val="single" w:sz="4" w:space="0" w:color="auto"/>
            </w:tcBorders>
            <w:shd w:val="clear" w:color="F7FAFC" w:fill="F7FAFC"/>
            <w:noWrap/>
            <w:vAlign w:val="center"/>
            <w:hideMark/>
          </w:tcPr>
          <w:p w14:paraId="73C3834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7.8</w:t>
            </w:r>
          </w:p>
        </w:tc>
      </w:tr>
      <w:tr w:rsidR="00D47C54" w:rsidRPr="00D47C54" w14:paraId="58D18E96" w14:textId="77777777" w:rsidTr="00D767EF">
        <w:trPr>
          <w:trHeight w:val="300"/>
        </w:trPr>
        <w:tc>
          <w:tcPr>
            <w:tcW w:w="3402" w:type="dxa"/>
            <w:tcBorders>
              <w:top w:val="nil"/>
              <w:left w:val="single" w:sz="4" w:space="0" w:color="auto"/>
              <w:bottom w:val="single" w:sz="4" w:space="0" w:color="000000"/>
              <w:right w:val="single" w:sz="4" w:space="0" w:color="000000"/>
            </w:tcBorders>
            <w:noWrap/>
            <w:vAlign w:val="center"/>
            <w:hideMark/>
          </w:tcPr>
          <w:p w14:paraId="026D1CF0"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Merchandise imports</w:t>
            </w:r>
          </w:p>
        </w:tc>
        <w:tc>
          <w:tcPr>
            <w:tcW w:w="717" w:type="dxa"/>
            <w:tcBorders>
              <w:top w:val="nil"/>
              <w:left w:val="nil"/>
              <w:bottom w:val="single" w:sz="4" w:space="0" w:color="000000"/>
              <w:right w:val="single" w:sz="4" w:space="0" w:color="000000"/>
            </w:tcBorders>
            <w:noWrap/>
            <w:vAlign w:val="center"/>
            <w:hideMark/>
          </w:tcPr>
          <w:p w14:paraId="2EFBC342"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-41.3</w:t>
            </w:r>
          </w:p>
        </w:tc>
        <w:tc>
          <w:tcPr>
            <w:tcW w:w="717" w:type="dxa"/>
            <w:tcBorders>
              <w:top w:val="nil"/>
              <w:left w:val="nil"/>
              <w:bottom w:val="single" w:sz="4" w:space="0" w:color="000000"/>
              <w:right w:val="single" w:sz="4" w:space="0" w:color="000000"/>
            </w:tcBorders>
            <w:noWrap/>
            <w:vAlign w:val="center"/>
            <w:hideMark/>
          </w:tcPr>
          <w:p w14:paraId="0B7E8AEE"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-48.5</w:t>
            </w:r>
          </w:p>
        </w:tc>
        <w:tc>
          <w:tcPr>
            <w:tcW w:w="717" w:type="dxa"/>
            <w:tcBorders>
              <w:top w:val="nil"/>
              <w:left w:val="nil"/>
              <w:bottom w:val="single" w:sz="4" w:space="0" w:color="000000"/>
              <w:right w:val="single" w:sz="4" w:space="0" w:color="000000"/>
            </w:tcBorders>
            <w:noWrap/>
            <w:vAlign w:val="center"/>
            <w:hideMark/>
          </w:tcPr>
          <w:p w14:paraId="10A48FA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-70.6</w:t>
            </w:r>
          </w:p>
        </w:tc>
        <w:tc>
          <w:tcPr>
            <w:tcW w:w="717" w:type="dxa"/>
            <w:tcBorders>
              <w:top w:val="nil"/>
              <w:left w:val="nil"/>
              <w:bottom w:val="single" w:sz="4" w:space="0" w:color="000000"/>
              <w:right w:val="single" w:sz="4" w:space="0" w:color="000000"/>
            </w:tcBorders>
            <w:noWrap/>
            <w:vAlign w:val="center"/>
            <w:hideMark/>
          </w:tcPr>
          <w:p w14:paraId="142890B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-43.9</w:t>
            </w:r>
          </w:p>
        </w:tc>
        <w:tc>
          <w:tcPr>
            <w:tcW w:w="717" w:type="dxa"/>
            <w:tcBorders>
              <w:top w:val="nil"/>
              <w:left w:val="nil"/>
              <w:bottom w:val="single" w:sz="4" w:space="0" w:color="000000"/>
              <w:right w:val="single" w:sz="4" w:space="0" w:color="000000"/>
            </w:tcBorders>
            <w:noWrap/>
            <w:vAlign w:val="center"/>
            <w:hideMark/>
          </w:tcPr>
          <w:p w14:paraId="73440D59"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-36.8</w:t>
            </w:r>
          </w:p>
        </w:tc>
        <w:tc>
          <w:tcPr>
            <w:tcW w:w="717" w:type="dxa"/>
            <w:tcBorders>
              <w:top w:val="nil"/>
              <w:left w:val="nil"/>
              <w:bottom w:val="single" w:sz="4" w:space="0" w:color="000000"/>
              <w:right w:val="single" w:sz="4" w:space="0" w:color="000000"/>
            </w:tcBorders>
            <w:noWrap/>
            <w:vAlign w:val="center"/>
            <w:hideMark/>
          </w:tcPr>
          <w:p w14:paraId="14C105D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-33.1</w:t>
            </w:r>
          </w:p>
        </w:tc>
        <w:tc>
          <w:tcPr>
            <w:tcW w:w="717" w:type="dxa"/>
            <w:tcBorders>
              <w:top w:val="nil"/>
              <w:left w:val="nil"/>
              <w:bottom w:val="single" w:sz="4" w:space="0" w:color="000000"/>
              <w:right w:val="single" w:sz="4" w:space="0" w:color="000000"/>
            </w:tcBorders>
            <w:noWrap/>
            <w:vAlign w:val="center"/>
            <w:hideMark/>
          </w:tcPr>
          <w:p w14:paraId="4C0AFD4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-34.4</w:t>
            </w:r>
          </w:p>
        </w:tc>
        <w:tc>
          <w:tcPr>
            <w:tcW w:w="717" w:type="dxa"/>
            <w:tcBorders>
              <w:top w:val="nil"/>
              <w:left w:val="nil"/>
              <w:bottom w:val="single" w:sz="4" w:space="0" w:color="000000"/>
              <w:right w:val="single" w:sz="4" w:space="0" w:color="000000"/>
            </w:tcBorders>
            <w:noWrap/>
            <w:vAlign w:val="center"/>
            <w:hideMark/>
          </w:tcPr>
          <w:p w14:paraId="5CA34849"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-33.9</w:t>
            </w:r>
          </w:p>
        </w:tc>
        <w:tc>
          <w:tcPr>
            <w:tcW w:w="717" w:type="dxa"/>
            <w:tcBorders>
              <w:top w:val="nil"/>
              <w:left w:val="nil"/>
              <w:bottom w:val="single" w:sz="4" w:space="0" w:color="000000"/>
              <w:right w:val="single" w:sz="4" w:space="0" w:color="000000"/>
            </w:tcBorders>
            <w:noWrap/>
            <w:vAlign w:val="center"/>
            <w:hideMark/>
          </w:tcPr>
          <w:p w14:paraId="7F18FAE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-32.9</w:t>
            </w:r>
          </w:p>
        </w:tc>
        <w:tc>
          <w:tcPr>
            <w:tcW w:w="717" w:type="dxa"/>
            <w:tcBorders>
              <w:top w:val="nil"/>
              <w:left w:val="nil"/>
              <w:bottom w:val="single" w:sz="4" w:space="0" w:color="000000"/>
              <w:right w:val="single" w:sz="4" w:space="0" w:color="000000"/>
            </w:tcBorders>
            <w:noWrap/>
            <w:vAlign w:val="center"/>
            <w:hideMark/>
          </w:tcPr>
          <w:p w14:paraId="7C5E3659"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-31.9</w:t>
            </w:r>
          </w:p>
        </w:tc>
        <w:tc>
          <w:tcPr>
            <w:tcW w:w="671" w:type="dxa"/>
            <w:tcBorders>
              <w:top w:val="nil"/>
              <w:left w:val="nil"/>
              <w:bottom w:val="single" w:sz="4" w:space="0" w:color="000000"/>
              <w:right w:val="single" w:sz="4" w:space="0" w:color="auto"/>
            </w:tcBorders>
            <w:noWrap/>
            <w:vAlign w:val="center"/>
            <w:hideMark/>
          </w:tcPr>
          <w:p w14:paraId="4557EAA5"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-28.5</w:t>
            </w:r>
          </w:p>
        </w:tc>
      </w:tr>
      <w:tr w:rsidR="00D47C54" w:rsidRPr="00D47C54" w14:paraId="11B52F29" w14:textId="77777777" w:rsidTr="00D767EF">
        <w:trPr>
          <w:trHeight w:val="300"/>
        </w:trPr>
        <w:tc>
          <w:tcPr>
            <w:tcW w:w="3402" w:type="dxa"/>
            <w:tcBorders>
              <w:top w:val="nil"/>
              <w:left w:val="single" w:sz="4" w:space="0" w:color="auto"/>
              <w:bottom w:val="single" w:sz="4" w:space="0" w:color="000000"/>
              <w:right w:val="single" w:sz="4" w:space="0" w:color="000000"/>
            </w:tcBorders>
            <w:shd w:val="clear" w:color="F7FAFC" w:fill="F7FAFC"/>
            <w:noWrap/>
            <w:vAlign w:val="center"/>
            <w:hideMark/>
          </w:tcPr>
          <w:p w14:paraId="7A57F7BD"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excl. megaprojects</w:t>
            </w:r>
          </w:p>
        </w:tc>
        <w:tc>
          <w:tcPr>
            <w:tcW w:w="717" w:type="dxa"/>
            <w:tcBorders>
              <w:top w:val="nil"/>
              <w:left w:val="nil"/>
              <w:bottom w:val="single" w:sz="4" w:space="0" w:color="000000"/>
              <w:right w:val="single" w:sz="4" w:space="0" w:color="000000"/>
            </w:tcBorders>
            <w:shd w:val="clear" w:color="F7FAFC" w:fill="F7FAFC"/>
            <w:noWrap/>
            <w:vAlign w:val="center"/>
            <w:hideMark/>
          </w:tcPr>
          <w:p w14:paraId="1BC81967"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-35.9</w:t>
            </w:r>
          </w:p>
        </w:tc>
        <w:tc>
          <w:tcPr>
            <w:tcW w:w="717" w:type="dxa"/>
            <w:tcBorders>
              <w:top w:val="nil"/>
              <w:left w:val="nil"/>
              <w:bottom w:val="single" w:sz="4" w:space="0" w:color="000000"/>
              <w:right w:val="single" w:sz="4" w:space="0" w:color="000000"/>
            </w:tcBorders>
            <w:shd w:val="clear" w:color="F7FAFC" w:fill="F7FAFC"/>
            <w:noWrap/>
            <w:vAlign w:val="center"/>
            <w:hideMark/>
          </w:tcPr>
          <w:p w14:paraId="6683551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-43.5</w:t>
            </w:r>
          </w:p>
        </w:tc>
        <w:tc>
          <w:tcPr>
            <w:tcW w:w="717" w:type="dxa"/>
            <w:tcBorders>
              <w:top w:val="nil"/>
              <w:left w:val="nil"/>
              <w:bottom w:val="single" w:sz="4" w:space="0" w:color="000000"/>
              <w:right w:val="single" w:sz="4" w:space="0" w:color="000000"/>
            </w:tcBorders>
            <w:shd w:val="clear" w:color="F7FAFC" w:fill="F7FAFC"/>
            <w:noWrap/>
            <w:vAlign w:val="center"/>
            <w:hideMark/>
          </w:tcPr>
          <w:p w14:paraId="57652B6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-41.8</w:t>
            </w:r>
          </w:p>
        </w:tc>
        <w:tc>
          <w:tcPr>
            <w:tcW w:w="717" w:type="dxa"/>
            <w:tcBorders>
              <w:top w:val="nil"/>
              <w:left w:val="nil"/>
              <w:bottom w:val="single" w:sz="4" w:space="0" w:color="000000"/>
              <w:right w:val="single" w:sz="4" w:space="0" w:color="000000"/>
            </w:tcBorders>
            <w:shd w:val="clear" w:color="F7FAFC" w:fill="F7FAFC"/>
            <w:noWrap/>
            <w:vAlign w:val="center"/>
            <w:hideMark/>
          </w:tcPr>
          <w:p w14:paraId="5F3FD208"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-37.6</w:t>
            </w:r>
          </w:p>
        </w:tc>
        <w:tc>
          <w:tcPr>
            <w:tcW w:w="717" w:type="dxa"/>
            <w:tcBorders>
              <w:top w:val="nil"/>
              <w:left w:val="nil"/>
              <w:bottom w:val="single" w:sz="4" w:space="0" w:color="000000"/>
              <w:right w:val="single" w:sz="4" w:space="0" w:color="000000"/>
            </w:tcBorders>
            <w:shd w:val="clear" w:color="F7FAFC" w:fill="F7FAFC"/>
            <w:noWrap/>
            <w:vAlign w:val="center"/>
            <w:hideMark/>
          </w:tcPr>
          <w:p w14:paraId="2E696A27"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-29.9</w:t>
            </w:r>
          </w:p>
        </w:tc>
        <w:tc>
          <w:tcPr>
            <w:tcW w:w="717" w:type="dxa"/>
            <w:tcBorders>
              <w:top w:val="nil"/>
              <w:left w:val="nil"/>
              <w:bottom w:val="single" w:sz="4" w:space="0" w:color="000000"/>
              <w:right w:val="single" w:sz="4" w:space="0" w:color="000000"/>
            </w:tcBorders>
            <w:shd w:val="clear" w:color="F7FAFC" w:fill="F7FAFC"/>
            <w:noWrap/>
            <w:vAlign w:val="center"/>
            <w:hideMark/>
          </w:tcPr>
          <w:p w14:paraId="1D1A2D91"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-26.2</w:t>
            </w:r>
          </w:p>
        </w:tc>
        <w:tc>
          <w:tcPr>
            <w:tcW w:w="717" w:type="dxa"/>
            <w:tcBorders>
              <w:top w:val="nil"/>
              <w:left w:val="nil"/>
              <w:bottom w:val="single" w:sz="4" w:space="0" w:color="000000"/>
              <w:right w:val="single" w:sz="4" w:space="0" w:color="000000"/>
            </w:tcBorders>
            <w:shd w:val="clear" w:color="F7FAFC" w:fill="F7FAFC"/>
            <w:noWrap/>
            <w:vAlign w:val="center"/>
            <w:hideMark/>
          </w:tcPr>
          <w:p w14:paraId="1052CD8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-25.3</w:t>
            </w:r>
          </w:p>
        </w:tc>
        <w:tc>
          <w:tcPr>
            <w:tcW w:w="717" w:type="dxa"/>
            <w:tcBorders>
              <w:top w:val="nil"/>
              <w:left w:val="nil"/>
              <w:bottom w:val="single" w:sz="4" w:space="0" w:color="000000"/>
              <w:right w:val="single" w:sz="4" w:space="0" w:color="000000"/>
            </w:tcBorders>
            <w:shd w:val="clear" w:color="F7FAFC" w:fill="F7FAFC"/>
            <w:noWrap/>
            <w:vAlign w:val="center"/>
            <w:hideMark/>
          </w:tcPr>
          <w:p w14:paraId="53A349D9"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-24.4</w:t>
            </w:r>
          </w:p>
        </w:tc>
        <w:tc>
          <w:tcPr>
            <w:tcW w:w="717" w:type="dxa"/>
            <w:tcBorders>
              <w:top w:val="nil"/>
              <w:left w:val="nil"/>
              <w:bottom w:val="single" w:sz="4" w:space="0" w:color="000000"/>
              <w:right w:val="single" w:sz="4" w:space="0" w:color="000000"/>
            </w:tcBorders>
            <w:shd w:val="clear" w:color="F7FAFC" w:fill="F7FAFC"/>
            <w:noWrap/>
            <w:vAlign w:val="center"/>
            <w:hideMark/>
          </w:tcPr>
          <w:p w14:paraId="3A54DE3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-24.0</w:t>
            </w:r>
          </w:p>
        </w:tc>
        <w:tc>
          <w:tcPr>
            <w:tcW w:w="717" w:type="dxa"/>
            <w:tcBorders>
              <w:top w:val="nil"/>
              <w:left w:val="nil"/>
              <w:bottom w:val="single" w:sz="4" w:space="0" w:color="000000"/>
              <w:right w:val="single" w:sz="4" w:space="0" w:color="000000"/>
            </w:tcBorders>
            <w:shd w:val="clear" w:color="F7FAFC" w:fill="F7FAFC"/>
            <w:noWrap/>
            <w:vAlign w:val="center"/>
            <w:hideMark/>
          </w:tcPr>
          <w:p w14:paraId="64DD3898"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-23.8</w:t>
            </w:r>
          </w:p>
        </w:tc>
        <w:tc>
          <w:tcPr>
            <w:tcW w:w="671" w:type="dxa"/>
            <w:tcBorders>
              <w:top w:val="nil"/>
              <w:left w:val="nil"/>
              <w:bottom w:val="single" w:sz="4" w:space="0" w:color="000000"/>
              <w:right w:val="single" w:sz="4" w:space="0" w:color="auto"/>
            </w:tcBorders>
            <w:shd w:val="clear" w:color="F7FAFC" w:fill="F7FAFC"/>
            <w:noWrap/>
            <w:vAlign w:val="center"/>
            <w:hideMark/>
          </w:tcPr>
          <w:p w14:paraId="15D118E8"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-22.1</w:t>
            </w:r>
          </w:p>
        </w:tc>
      </w:tr>
      <w:tr w:rsidR="00D47C54" w:rsidRPr="00D47C54" w14:paraId="04A5FDE9" w14:textId="77777777" w:rsidTr="00D767EF">
        <w:trPr>
          <w:trHeight w:val="300"/>
        </w:trPr>
        <w:tc>
          <w:tcPr>
            <w:tcW w:w="3402" w:type="dxa"/>
            <w:tcBorders>
              <w:top w:val="nil"/>
              <w:left w:val="single" w:sz="4" w:space="0" w:color="auto"/>
              <w:bottom w:val="single" w:sz="4" w:space="0" w:color="000000"/>
              <w:right w:val="single" w:sz="4" w:space="0" w:color="000000"/>
            </w:tcBorders>
            <w:noWrap/>
            <w:vAlign w:val="center"/>
            <w:hideMark/>
          </w:tcPr>
          <w:p w14:paraId="6EDEF82E"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Net foreign direct investment</w:t>
            </w:r>
          </w:p>
        </w:tc>
        <w:tc>
          <w:tcPr>
            <w:tcW w:w="717" w:type="dxa"/>
            <w:tcBorders>
              <w:top w:val="nil"/>
              <w:left w:val="nil"/>
              <w:bottom w:val="single" w:sz="4" w:space="0" w:color="000000"/>
              <w:right w:val="single" w:sz="4" w:space="0" w:color="000000"/>
            </w:tcBorders>
            <w:noWrap/>
            <w:vAlign w:val="center"/>
            <w:hideMark/>
          </w:tcPr>
          <w:p w14:paraId="7AE3F711"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-21.3</w:t>
            </w:r>
          </w:p>
        </w:tc>
        <w:tc>
          <w:tcPr>
            <w:tcW w:w="717" w:type="dxa"/>
            <w:tcBorders>
              <w:top w:val="nil"/>
              <w:left w:val="nil"/>
              <w:bottom w:val="single" w:sz="4" w:space="0" w:color="000000"/>
              <w:right w:val="single" w:sz="4" w:space="0" w:color="000000"/>
            </w:tcBorders>
            <w:noWrap/>
            <w:vAlign w:val="center"/>
            <w:hideMark/>
          </w:tcPr>
          <w:p w14:paraId="168A38D8"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-31.6</w:t>
            </w:r>
          </w:p>
        </w:tc>
        <w:tc>
          <w:tcPr>
            <w:tcW w:w="717" w:type="dxa"/>
            <w:tcBorders>
              <w:top w:val="nil"/>
              <w:left w:val="nil"/>
              <w:bottom w:val="single" w:sz="4" w:space="0" w:color="000000"/>
              <w:right w:val="single" w:sz="4" w:space="0" w:color="000000"/>
            </w:tcBorders>
            <w:noWrap/>
            <w:vAlign w:val="center"/>
            <w:hideMark/>
          </w:tcPr>
          <w:p w14:paraId="4FB37F1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-13.0</w:t>
            </w:r>
          </w:p>
        </w:tc>
        <w:tc>
          <w:tcPr>
            <w:tcW w:w="717" w:type="dxa"/>
            <w:tcBorders>
              <w:top w:val="nil"/>
              <w:left w:val="nil"/>
              <w:bottom w:val="single" w:sz="4" w:space="0" w:color="000000"/>
              <w:right w:val="single" w:sz="4" w:space="0" w:color="000000"/>
            </w:tcBorders>
            <w:noWrap/>
            <w:vAlign w:val="center"/>
            <w:hideMark/>
          </w:tcPr>
          <w:p w14:paraId="341ED61E"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-12.0</w:t>
            </w:r>
          </w:p>
        </w:tc>
        <w:tc>
          <w:tcPr>
            <w:tcW w:w="717" w:type="dxa"/>
            <w:tcBorders>
              <w:top w:val="nil"/>
              <w:left w:val="nil"/>
              <w:bottom w:val="single" w:sz="4" w:space="0" w:color="000000"/>
              <w:right w:val="single" w:sz="4" w:space="0" w:color="000000"/>
            </w:tcBorders>
            <w:noWrap/>
            <w:vAlign w:val="center"/>
            <w:hideMark/>
          </w:tcPr>
          <w:p w14:paraId="1E090B0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-15.6</w:t>
            </w:r>
          </w:p>
        </w:tc>
        <w:tc>
          <w:tcPr>
            <w:tcW w:w="717" w:type="dxa"/>
            <w:tcBorders>
              <w:top w:val="nil"/>
              <w:left w:val="nil"/>
              <w:bottom w:val="single" w:sz="4" w:space="0" w:color="000000"/>
              <w:right w:val="single" w:sz="4" w:space="0" w:color="000000"/>
            </w:tcBorders>
            <w:noWrap/>
            <w:vAlign w:val="center"/>
            <w:hideMark/>
          </w:tcPr>
          <w:p w14:paraId="5BF9B681"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-21.1</w:t>
            </w:r>
          </w:p>
        </w:tc>
        <w:tc>
          <w:tcPr>
            <w:tcW w:w="717" w:type="dxa"/>
            <w:tcBorders>
              <w:top w:val="nil"/>
              <w:left w:val="nil"/>
              <w:bottom w:val="single" w:sz="4" w:space="0" w:color="000000"/>
              <w:right w:val="single" w:sz="4" w:space="0" w:color="000000"/>
            </w:tcBorders>
            <w:noWrap/>
            <w:vAlign w:val="center"/>
            <w:hideMark/>
          </w:tcPr>
          <w:p w14:paraId="15DB695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-24.0</w:t>
            </w:r>
          </w:p>
        </w:tc>
        <w:tc>
          <w:tcPr>
            <w:tcW w:w="717" w:type="dxa"/>
            <w:tcBorders>
              <w:top w:val="nil"/>
              <w:left w:val="nil"/>
              <w:bottom w:val="single" w:sz="4" w:space="0" w:color="000000"/>
              <w:right w:val="single" w:sz="4" w:space="0" w:color="000000"/>
            </w:tcBorders>
            <w:noWrap/>
            <w:vAlign w:val="center"/>
            <w:hideMark/>
          </w:tcPr>
          <w:p w14:paraId="1D6475A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-29.8</w:t>
            </w:r>
          </w:p>
        </w:tc>
        <w:tc>
          <w:tcPr>
            <w:tcW w:w="717" w:type="dxa"/>
            <w:tcBorders>
              <w:top w:val="nil"/>
              <w:left w:val="nil"/>
              <w:bottom w:val="single" w:sz="4" w:space="0" w:color="000000"/>
              <w:right w:val="single" w:sz="4" w:space="0" w:color="000000"/>
            </w:tcBorders>
            <w:noWrap/>
            <w:vAlign w:val="center"/>
            <w:hideMark/>
          </w:tcPr>
          <w:p w14:paraId="3202AC70"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-29.3</w:t>
            </w:r>
          </w:p>
        </w:tc>
        <w:tc>
          <w:tcPr>
            <w:tcW w:w="717" w:type="dxa"/>
            <w:tcBorders>
              <w:top w:val="nil"/>
              <w:left w:val="nil"/>
              <w:bottom w:val="single" w:sz="4" w:space="0" w:color="000000"/>
              <w:right w:val="single" w:sz="4" w:space="0" w:color="000000"/>
            </w:tcBorders>
            <w:noWrap/>
            <w:vAlign w:val="center"/>
            <w:hideMark/>
          </w:tcPr>
          <w:p w14:paraId="2B9E089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-23.3</w:t>
            </w:r>
          </w:p>
        </w:tc>
        <w:tc>
          <w:tcPr>
            <w:tcW w:w="671" w:type="dxa"/>
            <w:tcBorders>
              <w:top w:val="nil"/>
              <w:left w:val="nil"/>
              <w:bottom w:val="single" w:sz="4" w:space="0" w:color="000000"/>
              <w:right w:val="single" w:sz="4" w:space="0" w:color="auto"/>
            </w:tcBorders>
            <w:noWrap/>
            <w:vAlign w:val="center"/>
            <w:hideMark/>
          </w:tcPr>
          <w:p w14:paraId="68BBB89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-10.5</w:t>
            </w:r>
          </w:p>
        </w:tc>
      </w:tr>
      <w:tr w:rsidR="00D47C54" w:rsidRPr="00D47C54" w14:paraId="7FCF0BE7" w14:textId="77777777" w:rsidTr="00D767EF">
        <w:trPr>
          <w:trHeight w:val="300"/>
        </w:trPr>
        <w:tc>
          <w:tcPr>
            <w:tcW w:w="3402" w:type="dxa"/>
            <w:tcBorders>
              <w:top w:val="nil"/>
              <w:left w:val="single" w:sz="4" w:space="0" w:color="auto"/>
              <w:bottom w:val="single" w:sz="4" w:space="0" w:color="000000"/>
              <w:right w:val="single" w:sz="4" w:space="0" w:color="000000"/>
            </w:tcBorders>
            <w:shd w:val="clear" w:color="F7FAFC" w:fill="F7FAFC"/>
            <w:noWrap/>
            <w:vAlign w:val="center"/>
            <w:hideMark/>
          </w:tcPr>
          <w:p w14:paraId="6F0A80D3"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Terms of trade (Percentage change)</w:t>
            </w:r>
          </w:p>
        </w:tc>
        <w:tc>
          <w:tcPr>
            <w:tcW w:w="717" w:type="dxa"/>
            <w:tcBorders>
              <w:top w:val="nil"/>
              <w:left w:val="nil"/>
              <w:bottom w:val="single" w:sz="4" w:space="0" w:color="000000"/>
              <w:right w:val="single" w:sz="4" w:space="0" w:color="000000"/>
            </w:tcBorders>
            <w:shd w:val="clear" w:color="F7FAFC" w:fill="F7FAFC"/>
            <w:noWrap/>
            <w:vAlign w:val="center"/>
            <w:hideMark/>
          </w:tcPr>
          <w:p w14:paraId="00FD0CC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-0.1</w:t>
            </w:r>
          </w:p>
        </w:tc>
        <w:tc>
          <w:tcPr>
            <w:tcW w:w="717" w:type="dxa"/>
            <w:tcBorders>
              <w:top w:val="nil"/>
              <w:left w:val="nil"/>
              <w:bottom w:val="single" w:sz="4" w:space="0" w:color="000000"/>
              <w:right w:val="single" w:sz="4" w:space="0" w:color="000000"/>
            </w:tcBorders>
            <w:shd w:val="clear" w:color="F7FAFC" w:fill="F7FAFC"/>
            <w:noWrap/>
            <w:vAlign w:val="center"/>
            <w:hideMark/>
          </w:tcPr>
          <w:p w14:paraId="06E0C88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0.4</w:t>
            </w:r>
          </w:p>
        </w:tc>
        <w:tc>
          <w:tcPr>
            <w:tcW w:w="717" w:type="dxa"/>
            <w:tcBorders>
              <w:top w:val="nil"/>
              <w:left w:val="nil"/>
              <w:bottom w:val="single" w:sz="4" w:space="0" w:color="000000"/>
              <w:right w:val="single" w:sz="4" w:space="0" w:color="000000"/>
            </w:tcBorders>
            <w:shd w:val="clear" w:color="F7FAFC" w:fill="F7FAFC"/>
            <w:noWrap/>
            <w:vAlign w:val="center"/>
            <w:hideMark/>
          </w:tcPr>
          <w:p w14:paraId="787A85E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-3.7</w:t>
            </w:r>
          </w:p>
        </w:tc>
        <w:tc>
          <w:tcPr>
            <w:tcW w:w="717" w:type="dxa"/>
            <w:tcBorders>
              <w:top w:val="nil"/>
              <w:left w:val="nil"/>
              <w:bottom w:val="single" w:sz="4" w:space="0" w:color="000000"/>
              <w:right w:val="single" w:sz="4" w:space="0" w:color="000000"/>
            </w:tcBorders>
            <w:shd w:val="clear" w:color="F7FAFC" w:fill="F7FAFC"/>
            <w:noWrap/>
            <w:vAlign w:val="center"/>
            <w:hideMark/>
          </w:tcPr>
          <w:p w14:paraId="0F704C4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7.0</w:t>
            </w:r>
          </w:p>
        </w:tc>
        <w:tc>
          <w:tcPr>
            <w:tcW w:w="717" w:type="dxa"/>
            <w:tcBorders>
              <w:top w:val="nil"/>
              <w:left w:val="nil"/>
              <w:bottom w:val="single" w:sz="4" w:space="0" w:color="000000"/>
              <w:right w:val="single" w:sz="4" w:space="0" w:color="000000"/>
            </w:tcBorders>
            <w:shd w:val="clear" w:color="F7FAFC" w:fill="F7FAFC"/>
            <w:noWrap/>
            <w:vAlign w:val="center"/>
            <w:hideMark/>
          </w:tcPr>
          <w:p w14:paraId="622BB93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-0.9</w:t>
            </w:r>
          </w:p>
        </w:tc>
        <w:tc>
          <w:tcPr>
            <w:tcW w:w="717" w:type="dxa"/>
            <w:tcBorders>
              <w:top w:val="nil"/>
              <w:left w:val="nil"/>
              <w:bottom w:val="single" w:sz="4" w:space="0" w:color="000000"/>
              <w:right w:val="single" w:sz="4" w:space="0" w:color="000000"/>
            </w:tcBorders>
            <w:shd w:val="clear" w:color="F7FAFC" w:fill="F7FAFC"/>
            <w:noWrap/>
            <w:vAlign w:val="center"/>
            <w:hideMark/>
          </w:tcPr>
          <w:p w14:paraId="426DDA0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6.2</w:t>
            </w:r>
          </w:p>
        </w:tc>
        <w:tc>
          <w:tcPr>
            <w:tcW w:w="717" w:type="dxa"/>
            <w:tcBorders>
              <w:top w:val="nil"/>
              <w:left w:val="nil"/>
              <w:bottom w:val="single" w:sz="4" w:space="0" w:color="000000"/>
              <w:right w:val="single" w:sz="4" w:space="0" w:color="000000"/>
            </w:tcBorders>
            <w:shd w:val="clear" w:color="F7FAFC" w:fill="F7FAFC"/>
            <w:noWrap/>
            <w:vAlign w:val="center"/>
            <w:hideMark/>
          </w:tcPr>
          <w:p w14:paraId="0B53522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2.2</w:t>
            </w:r>
          </w:p>
        </w:tc>
        <w:tc>
          <w:tcPr>
            <w:tcW w:w="717" w:type="dxa"/>
            <w:tcBorders>
              <w:top w:val="nil"/>
              <w:left w:val="nil"/>
              <w:bottom w:val="single" w:sz="4" w:space="0" w:color="000000"/>
              <w:right w:val="single" w:sz="4" w:space="0" w:color="000000"/>
            </w:tcBorders>
            <w:shd w:val="clear" w:color="F7FAFC" w:fill="F7FAFC"/>
            <w:noWrap/>
            <w:vAlign w:val="center"/>
            <w:hideMark/>
          </w:tcPr>
          <w:p w14:paraId="16849BA9"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0.3</w:t>
            </w:r>
          </w:p>
        </w:tc>
        <w:tc>
          <w:tcPr>
            <w:tcW w:w="717" w:type="dxa"/>
            <w:tcBorders>
              <w:top w:val="nil"/>
              <w:left w:val="nil"/>
              <w:bottom w:val="single" w:sz="4" w:space="0" w:color="000000"/>
              <w:right w:val="single" w:sz="4" w:space="0" w:color="000000"/>
            </w:tcBorders>
            <w:shd w:val="clear" w:color="F7FAFC" w:fill="F7FAFC"/>
            <w:noWrap/>
            <w:vAlign w:val="center"/>
            <w:hideMark/>
          </w:tcPr>
          <w:p w14:paraId="785459E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0.2</w:t>
            </w:r>
          </w:p>
        </w:tc>
        <w:tc>
          <w:tcPr>
            <w:tcW w:w="717" w:type="dxa"/>
            <w:tcBorders>
              <w:top w:val="nil"/>
              <w:left w:val="nil"/>
              <w:bottom w:val="single" w:sz="4" w:space="0" w:color="000000"/>
              <w:right w:val="single" w:sz="4" w:space="0" w:color="000000"/>
            </w:tcBorders>
            <w:shd w:val="clear" w:color="F7FAFC" w:fill="F7FAFC"/>
            <w:noWrap/>
            <w:vAlign w:val="center"/>
            <w:hideMark/>
          </w:tcPr>
          <w:p w14:paraId="570A56B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0.0</w:t>
            </w:r>
          </w:p>
        </w:tc>
        <w:tc>
          <w:tcPr>
            <w:tcW w:w="671" w:type="dxa"/>
            <w:tcBorders>
              <w:top w:val="nil"/>
              <w:left w:val="nil"/>
              <w:bottom w:val="single" w:sz="4" w:space="0" w:color="000000"/>
              <w:right w:val="single" w:sz="4" w:space="0" w:color="auto"/>
            </w:tcBorders>
            <w:shd w:val="clear" w:color="F7FAFC" w:fill="F7FAFC"/>
            <w:noWrap/>
            <w:vAlign w:val="center"/>
            <w:hideMark/>
          </w:tcPr>
          <w:p w14:paraId="42ACF20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0.0</w:t>
            </w:r>
          </w:p>
        </w:tc>
      </w:tr>
      <w:tr w:rsidR="00D47C54" w:rsidRPr="00D47C54" w14:paraId="6C9CF7B6" w14:textId="77777777" w:rsidTr="00D767EF">
        <w:trPr>
          <w:trHeight w:val="300"/>
        </w:trPr>
        <w:tc>
          <w:tcPr>
            <w:tcW w:w="3402" w:type="dxa"/>
            <w:tcBorders>
              <w:top w:val="nil"/>
              <w:left w:val="single" w:sz="4" w:space="0" w:color="auto"/>
              <w:bottom w:val="single" w:sz="4" w:space="0" w:color="000000"/>
              <w:right w:val="single" w:sz="4" w:space="0" w:color="000000"/>
            </w:tcBorders>
            <w:noWrap/>
            <w:vAlign w:val="center"/>
            <w:hideMark/>
          </w:tcPr>
          <w:p w14:paraId="450890AF"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Gross international reserves (millions of US dollars, end of period)</w:t>
            </w:r>
          </w:p>
        </w:tc>
        <w:tc>
          <w:tcPr>
            <w:tcW w:w="717" w:type="dxa"/>
            <w:tcBorders>
              <w:top w:val="nil"/>
              <w:left w:val="nil"/>
              <w:bottom w:val="single" w:sz="4" w:space="0" w:color="000000"/>
              <w:right w:val="single" w:sz="4" w:space="0" w:color="000000"/>
            </w:tcBorders>
            <w:noWrap/>
            <w:vAlign w:val="center"/>
            <w:hideMark/>
          </w:tcPr>
          <w:p w14:paraId="74A35579"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4,070</w:t>
            </w:r>
          </w:p>
        </w:tc>
        <w:tc>
          <w:tcPr>
            <w:tcW w:w="717" w:type="dxa"/>
            <w:tcBorders>
              <w:top w:val="nil"/>
              <w:left w:val="nil"/>
              <w:bottom w:val="single" w:sz="4" w:space="0" w:color="000000"/>
              <w:right w:val="single" w:sz="4" w:space="0" w:color="000000"/>
            </w:tcBorders>
            <w:noWrap/>
            <w:vAlign w:val="center"/>
            <w:hideMark/>
          </w:tcPr>
          <w:p w14:paraId="3913033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3,470</w:t>
            </w:r>
          </w:p>
        </w:tc>
        <w:tc>
          <w:tcPr>
            <w:tcW w:w="717" w:type="dxa"/>
            <w:tcBorders>
              <w:top w:val="nil"/>
              <w:left w:val="nil"/>
              <w:bottom w:val="single" w:sz="4" w:space="0" w:color="000000"/>
              <w:right w:val="single" w:sz="4" w:space="0" w:color="000000"/>
            </w:tcBorders>
            <w:noWrap/>
            <w:vAlign w:val="center"/>
            <w:hideMark/>
          </w:tcPr>
          <w:p w14:paraId="296FED70"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2,888</w:t>
            </w:r>
          </w:p>
        </w:tc>
        <w:tc>
          <w:tcPr>
            <w:tcW w:w="717" w:type="dxa"/>
            <w:tcBorders>
              <w:top w:val="nil"/>
              <w:left w:val="nil"/>
              <w:bottom w:val="single" w:sz="4" w:space="0" w:color="000000"/>
              <w:right w:val="single" w:sz="4" w:space="0" w:color="000000"/>
            </w:tcBorders>
            <w:noWrap/>
            <w:vAlign w:val="center"/>
            <w:hideMark/>
          </w:tcPr>
          <w:p w14:paraId="45F4B6F5"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3,632</w:t>
            </w:r>
          </w:p>
        </w:tc>
        <w:tc>
          <w:tcPr>
            <w:tcW w:w="717" w:type="dxa"/>
            <w:tcBorders>
              <w:top w:val="nil"/>
              <w:left w:val="nil"/>
              <w:bottom w:val="single" w:sz="4" w:space="0" w:color="000000"/>
              <w:right w:val="single" w:sz="4" w:space="0" w:color="000000"/>
            </w:tcBorders>
            <w:noWrap/>
            <w:vAlign w:val="center"/>
            <w:hideMark/>
          </w:tcPr>
          <w:p w14:paraId="581BA39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3,861</w:t>
            </w:r>
          </w:p>
        </w:tc>
        <w:tc>
          <w:tcPr>
            <w:tcW w:w="717" w:type="dxa"/>
            <w:tcBorders>
              <w:top w:val="nil"/>
              <w:left w:val="nil"/>
              <w:bottom w:val="single" w:sz="4" w:space="0" w:color="000000"/>
              <w:right w:val="single" w:sz="4" w:space="0" w:color="000000"/>
            </w:tcBorders>
            <w:noWrap/>
            <w:vAlign w:val="center"/>
            <w:hideMark/>
          </w:tcPr>
          <w:p w14:paraId="3760398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4,238</w:t>
            </w:r>
          </w:p>
        </w:tc>
        <w:tc>
          <w:tcPr>
            <w:tcW w:w="717" w:type="dxa"/>
            <w:tcBorders>
              <w:top w:val="nil"/>
              <w:left w:val="nil"/>
              <w:bottom w:val="single" w:sz="4" w:space="0" w:color="000000"/>
              <w:right w:val="single" w:sz="4" w:space="0" w:color="000000"/>
            </w:tcBorders>
            <w:noWrap/>
            <w:vAlign w:val="center"/>
            <w:hideMark/>
          </w:tcPr>
          <w:p w14:paraId="018C40D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4,262</w:t>
            </w:r>
          </w:p>
        </w:tc>
        <w:tc>
          <w:tcPr>
            <w:tcW w:w="717" w:type="dxa"/>
            <w:tcBorders>
              <w:top w:val="nil"/>
              <w:left w:val="nil"/>
              <w:bottom w:val="single" w:sz="4" w:space="0" w:color="000000"/>
              <w:right w:val="single" w:sz="4" w:space="0" w:color="000000"/>
            </w:tcBorders>
            <w:noWrap/>
            <w:vAlign w:val="center"/>
            <w:hideMark/>
          </w:tcPr>
          <w:p w14:paraId="7CA16767"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3,992</w:t>
            </w:r>
          </w:p>
        </w:tc>
        <w:tc>
          <w:tcPr>
            <w:tcW w:w="717" w:type="dxa"/>
            <w:tcBorders>
              <w:top w:val="nil"/>
              <w:left w:val="nil"/>
              <w:bottom w:val="single" w:sz="4" w:space="0" w:color="000000"/>
              <w:right w:val="single" w:sz="4" w:space="0" w:color="000000"/>
            </w:tcBorders>
            <w:noWrap/>
            <w:vAlign w:val="center"/>
            <w:hideMark/>
          </w:tcPr>
          <w:p w14:paraId="5708C3B1"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3,534</w:t>
            </w:r>
          </w:p>
        </w:tc>
        <w:tc>
          <w:tcPr>
            <w:tcW w:w="717" w:type="dxa"/>
            <w:tcBorders>
              <w:top w:val="nil"/>
              <w:left w:val="nil"/>
              <w:bottom w:val="single" w:sz="4" w:space="0" w:color="000000"/>
              <w:right w:val="single" w:sz="4" w:space="0" w:color="000000"/>
            </w:tcBorders>
            <w:noWrap/>
            <w:vAlign w:val="center"/>
            <w:hideMark/>
          </w:tcPr>
          <w:p w14:paraId="06484AA0"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3,057</w:t>
            </w:r>
          </w:p>
        </w:tc>
        <w:tc>
          <w:tcPr>
            <w:tcW w:w="671" w:type="dxa"/>
            <w:tcBorders>
              <w:top w:val="nil"/>
              <w:left w:val="nil"/>
              <w:bottom w:val="single" w:sz="4" w:space="0" w:color="000000"/>
              <w:right w:val="single" w:sz="4" w:space="0" w:color="auto"/>
            </w:tcBorders>
            <w:noWrap/>
            <w:vAlign w:val="center"/>
            <w:hideMark/>
          </w:tcPr>
          <w:p w14:paraId="1E639021"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2,624</w:t>
            </w:r>
          </w:p>
        </w:tc>
      </w:tr>
      <w:tr w:rsidR="00D47C54" w:rsidRPr="00D47C54" w14:paraId="6CE92900" w14:textId="77777777" w:rsidTr="00D767EF">
        <w:trPr>
          <w:trHeight w:val="300"/>
        </w:trPr>
        <w:tc>
          <w:tcPr>
            <w:tcW w:w="3402" w:type="dxa"/>
            <w:tcBorders>
              <w:top w:val="nil"/>
              <w:left w:val="single" w:sz="4" w:space="0" w:color="auto"/>
              <w:bottom w:val="single" w:sz="4" w:space="0" w:color="000000"/>
              <w:right w:val="single" w:sz="4" w:space="0" w:color="000000"/>
            </w:tcBorders>
            <w:shd w:val="clear" w:color="F7FAFC" w:fill="F7FAFC"/>
            <w:noWrap/>
            <w:vAlign w:val="center"/>
            <w:hideMark/>
          </w:tcPr>
          <w:p w14:paraId="5CD7E405"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Months of next year's non-megaproject imports</w:t>
            </w:r>
          </w:p>
        </w:tc>
        <w:tc>
          <w:tcPr>
            <w:tcW w:w="717" w:type="dxa"/>
            <w:tcBorders>
              <w:top w:val="nil"/>
              <w:left w:val="nil"/>
              <w:bottom w:val="single" w:sz="4" w:space="0" w:color="000000"/>
              <w:right w:val="single" w:sz="4" w:space="0" w:color="000000"/>
            </w:tcBorders>
            <w:shd w:val="clear" w:color="F7FAFC" w:fill="F7FAFC"/>
            <w:noWrap/>
            <w:vAlign w:val="center"/>
            <w:hideMark/>
          </w:tcPr>
          <w:p w14:paraId="61538B07"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5.9</w:t>
            </w:r>
          </w:p>
        </w:tc>
        <w:tc>
          <w:tcPr>
            <w:tcW w:w="717" w:type="dxa"/>
            <w:tcBorders>
              <w:top w:val="nil"/>
              <w:left w:val="nil"/>
              <w:bottom w:val="single" w:sz="4" w:space="0" w:color="000000"/>
              <w:right w:val="single" w:sz="4" w:space="0" w:color="000000"/>
            </w:tcBorders>
            <w:shd w:val="clear" w:color="F7FAFC" w:fill="F7FAFC"/>
            <w:noWrap/>
            <w:vAlign w:val="center"/>
            <w:hideMark/>
          </w:tcPr>
          <w:p w14:paraId="5D096502"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4.5</w:t>
            </w:r>
          </w:p>
        </w:tc>
        <w:tc>
          <w:tcPr>
            <w:tcW w:w="717" w:type="dxa"/>
            <w:tcBorders>
              <w:top w:val="nil"/>
              <w:left w:val="nil"/>
              <w:bottom w:val="single" w:sz="4" w:space="0" w:color="000000"/>
              <w:right w:val="single" w:sz="4" w:space="0" w:color="000000"/>
            </w:tcBorders>
            <w:shd w:val="clear" w:color="F7FAFC" w:fill="F7FAFC"/>
            <w:noWrap/>
            <w:vAlign w:val="center"/>
            <w:hideMark/>
          </w:tcPr>
          <w:p w14:paraId="4C74D2E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3.8</w:t>
            </w:r>
          </w:p>
        </w:tc>
        <w:tc>
          <w:tcPr>
            <w:tcW w:w="717" w:type="dxa"/>
            <w:tcBorders>
              <w:top w:val="nil"/>
              <w:left w:val="nil"/>
              <w:bottom w:val="single" w:sz="4" w:space="0" w:color="000000"/>
              <w:right w:val="single" w:sz="4" w:space="0" w:color="000000"/>
            </w:tcBorders>
            <w:shd w:val="clear" w:color="F7FAFC" w:fill="F7FAFC"/>
            <w:noWrap/>
            <w:vAlign w:val="center"/>
            <w:hideMark/>
          </w:tcPr>
          <w:p w14:paraId="38CC6F5E"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5.5</w:t>
            </w:r>
          </w:p>
        </w:tc>
        <w:tc>
          <w:tcPr>
            <w:tcW w:w="717" w:type="dxa"/>
            <w:tcBorders>
              <w:top w:val="nil"/>
              <w:left w:val="nil"/>
              <w:bottom w:val="single" w:sz="4" w:space="0" w:color="000000"/>
              <w:right w:val="single" w:sz="4" w:space="0" w:color="000000"/>
            </w:tcBorders>
            <w:shd w:val="clear" w:color="F7FAFC" w:fill="F7FAFC"/>
            <w:noWrap/>
            <w:vAlign w:val="center"/>
            <w:hideMark/>
          </w:tcPr>
          <w:p w14:paraId="15D93581"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6.1</w:t>
            </w:r>
          </w:p>
        </w:tc>
        <w:tc>
          <w:tcPr>
            <w:tcW w:w="717" w:type="dxa"/>
            <w:tcBorders>
              <w:top w:val="nil"/>
              <w:left w:val="nil"/>
              <w:bottom w:val="single" w:sz="4" w:space="0" w:color="000000"/>
              <w:right w:val="single" w:sz="4" w:space="0" w:color="000000"/>
            </w:tcBorders>
            <w:shd w:val="clear" w:color="F7FAFC" w:fill="F7FAFC"/>
            <w:noWrap/>
            <w:vAlign w:val="center"/>
            <w:hideMark/>
          </w:tcPr>
          <w:p w14:paraId="48E64CD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6.5</w:t>
            </w:r>
          </w:p>
        </w:tc>
        <w:tc>
          <w:tcPr>
            <w:tcW w:w="717" w:type="dxa"/>
            <w:tcBorders>
              <w:top w:val="nil"/>
              <w:left w:val="nil"/>
              <w:bottom w:val="single" w:sz="4" w:space="0" w:color="000000"/>
              <w:right w:val="single" w:sz="4" w:space="0" w:color="000000"/>
            </w:tcBorders>
            <w:shd w:val="clear" w:color="F7FAFC" w:fill="F7FAFC"/>
            <w:noWrap/>
            <w:vAlign w:val="center"/>
            <w:hideMark/>
          </w:tcPr>
          <w:p w14:paraId="461F7A3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6.4</w:t>
            </w:r>
          </w:p>
        </w:tc>
        <w:tc>
          <w:tcPr>
            <w:tcW w:w="717" w:type="dxa"/>
            <w:tcBorders>
              <w:top w:val="nil"/>
              <w:left w:val="nil"/>
              <w:bottom w:val="single" w:sz="4" w:space="0" w:color="000000"/>
              <w:right w:val="single" w:sz="4" w:space="0" w:color="000000"/>
            </w:tcBorders>
            <w:shd w:val="clear" w:color="F7FAFC" w:fill="F7FAFC"/>
            <w:noWrap/>
            <w:vAlign w:val="center"/>
            <w:hideMark/>
          </w:tcPr>
          <w:p w14:paraId="409FCE0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5.9</w:t>
            </w:r>
          </w:p>
        </w:tc>
        <w:tc>
          <w:tcPr>
            <w:tcW w:w="717" w:type="dxa"/>
            <w:tcBorders>
              <w:top w:val="nil"/>
              <w:left w:val="nil"/>
              <w:bottom w:val="single" w:sz="4" w:space="0" w:color="000000"/>
              <w:right w:val="single" w:sz="4" w:space="0" w:color="000000"/>
            </w:tcBorders>
            <w:shd w:val="clear" w:color="F7FAFC" w:fill="F7FAFC"/>
            <w:noWrap/>
            <w:vAlign w:val="center"/>
            <w:hideMark/>
          </w:tcPr>
          <w:p w14:paraId="4DB05BD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5.0</w:t>
            </w:r>
          </w:p>
        </w:tc>
        <w:tc>
          <w:tcPr>
            <w:tcW w:w="717" w:type="dxa"/>
            <w:tcBorders>
              <w:top w:val="nil"/>
              <w:left w:val="nil"/>
              <w:bottom w:val="single" w:sz="4" w:space="0" w:color="000000"/>
              <w:right w:val="single" w:sz="4" w:space="0" w:color="000000"/>
            </w:tcBorders>
            <w:shd w:val="clear" w:color="F7FAFC" w:fill="F7FAFC"/>
            <w:noWrap/>
            <w:vAlign w:val="center"/>
            <w:hideMark/>
          </w:tcPr>
          <w:p w14:paraId="01BFBA12"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4.1</w:t>
            </w:r>
          </w:p>
        </w:tc>
        <w:tc>
          <w:tcPr>
            <w:tcW w:w="671" w:type="dxa"/>
            <w:tcBorders>
              <w:top w:val="nil"/>
              <w:left w:val="nil"/>
              <w:bottom w:val="single" w:sz="4" w:space="0" w:color="000000"/>
              <w:right w:val="single" w:sz="4" w:space="0" w:color="auto"/>
            </w:tcBorders>
            <w:shd w:val="clear" w:color="F7FAFC" w:fill="F7FAFC"/>
            <w:noWrap/>
            <w:vAlign w:val="center"/>
            <w:hideMark/>
          </w:tcPr>
          <w:p w14:paraId="33520727"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3.2</w:t>
            </w:r>
          </w:p>
        </w:tc>
      </w:tr>
      <w:tr w:rsidR="00D47C54" w:rsidRPr="00D47C54" w14:paraId="62ADB7EA" w14:textId="77777777" w:rsidTr="00D767EF">
        <w:trPr>
          <w:trHeight w:val="300"/>
        </w:trPr>
        <w:tc>
          <w:tcPr>
            <w:tcW w:w="3402" w:type="dxa"/>
            <w:tcBorders>
              <w:top w:val="nil"/>
              <w:left w:val="single" w:sz="4" w:space="0" w:color="auto"/>
              <w:bottom w:val="single" w:sz="4" w:space="0" w:color="000000"/>
              <w:right w:val="single" w:sz="4" w:space="0" w:color="000000"/>
            </w:tcBorders>
            <w:noWrap/>
            <w:vAlign w:val="center"/>
            <w:hideMark/>
          </w:tcPr>
          <w:p w14:paraId="47D6E0EE"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Net international reserves (millions of US dollars, end of period)</w:t>
            </w:r>
          </w:p>
        </w:tc>
        <w:tc>
          <w:tcPr>
            <w:tcW w:w="717" w:type="dxa"/>
            <w:tcBorders>
              <w:top w:val="nil"/>
              <w:left w:val="nil"/>
              <w:bottom w:val="single" w:sz="4" w:space="0" w:color="000000"/>
              <w:right w:val="single" w:sz="4" w:space="0" w:color="000000"/>
            </w:tcBorders>
            <w:noWrap/>
            <w:vAlign w:val="center"/>
            <w:hideMark/>
          </w:tcPr>
          <w:p w14:paraId="197FF51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3,493</w:t>
            </w:r>
          </w:p>
        </w:tc>
        <w:tc>
          <w:tcPr>
            <w:tcW w:w="717" w:type="dxa"/>
            <w:tcBorders>
              <w:top w:val="nil"/>
              <w:left w:val="nil"/>
              <w:bottom w:val="single" w:sz="4" w:space="0" w:color="000000"/>
              <w:right w:val="single" w:sz="4" w:space="0" w:color="000000"/>
            </w:tcBorders>
            <w:noWrap/>
            <w:vAlign w:val="center"/>
            <w:hideMark/>
          </w:tcPr>
          <w:p w14:paraId="5CEA12A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2,927</w:t>
            </w:r>
          </w:p>
        </w:tc>
        <w:tc>
          <w:tcPr>
            <w:tcW w:w="717" w:type="dxa"/>
            <w:tcBorders>
              <w:top w:val="nil"/>
              <w:left w:val="nil"/>
              <w:bottom w:val="single" w:sz="4" w:space="0" w:color="000000"/>
              <w:right w:val="single" w:sz="4" w:space="0" w:color="000000"/>
            </w:tcBorders>
            <w:noWrap/>
            <w:vAlign w:val="center"/>
            <w:hideMark/>
          </w:tcPr>
          <w:p w14:paraId="1ADB4DD8"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2,333</w:t>
            </w:r>
          </w:p>
        </w:tc>
        <w:tc>
          <w:tcPr>
            <w:tcW w:w="717" w:type="dxa"/>
            <w:tcBorders>
              <w:top w:val="nil"/>
              <w:left w:val="nil"/>
              <w:bottom w:val="single" w:sz="4" w:space="0" w:color="000000"/>
              <w:right w:val="single" w:sz="4" w:space="0" w:color="000000"/>
            </w:tcBorders>
            <w:noWrap/>
            <w:vAlign w:val="center"/>
            <w:hideMark/>
          </w:tcPr>
          <w:p w14:paraId="6A460685"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3,055</w:t>
            </w:r>
          </w:p>
        </w:tc>
        <w:tc>
          <w:tcPr>
            <w:tcW w:w="717" w:type="dxa"/>
            <w:tcBorders>
              <w:top w:val="nil"/>
              <w:left w:val="nil"/>
              <w:bottom w:val="single" w:sz="4" w:space="0" w:color="000000"/>
              <w:right w:val="single" w:sz="4" w:space="0" w:color="000000"/>
            </w:tcBorders>
            <w:noWrap/>
            <w:vAlign w:val="center"/>
            <w:hideMark/>
          </w:tcPr>
          <w:p w14:paraId="1B751F38"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3,175</w:t>
            </w:r>
          </w:p>
        </w:tc>
        <w:tc>
          <w:tcPr>
            <w:tcW w:w="717" w:type="dxa"/>
            <w:tcBorders>
              <w:top w:val="nil"/>
              <w:left w:val="nil"/>
              <w:bottom w:val="single" w:sz="4" w:space="0" w:color="000000"/>
              <w:right w:val="single" w:sz="4" w:space="0" w:color="000000"/>
            </w:tcBorders>
            <w:noWrap/>
            <w:vAlign w:val="center"/>
            <w:hideMark/>
          </w:tcPr>
          <w:p w14:paraId="773B675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3,462</w:t>
            </w:r>
          </w:p>
        </w:tc>
        <w:tc>
          <w:tcPr>
            <w:tcW w:w="717" w:type="dxa"/>
            <w:tcBorders>
              <w:top w:val="nil"/>
              <w:left w:val="nil"/>
              <w:bottom w:val="single" w:sz="4" w:space="0" w:color="000000"/>
              <w:right w:val="single" w:sz="4" w:space="0" w:color="000000"/>
            </w:tcBorders>
            <w:noWrap/>
            <w:vAlign w:val="center"/>
            <w:hideMark/>
          </w:tcPr>
          <w:p w14:paraId="3CF8065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3,572</w:t>
            </w:r>
          </w:p>
        </w:tc>
        <w:tc>
          <w:tcPr>
            <w:tcW w:w="717" w:type="dxa"/>
            <w:tcBorders>
              <w:top w:val="nil"/>
              <w:left w:val="nil"/>
              <w:bottom w:val="single" w:sz="4" w:space="0" w:color="000000"/>
              <w:right w:val="single" w:sz="4" w:space="0" w:color="000000"/>
            </w:tcBorders>
            <w:noWrap/>
            <w:vAlign w:val="center"/>
            <w:hideMark/>
          </w:tcPr>
          <w:p w14:paraId="1218F993"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3,398</w:t>
            </w:r>
          </w:p>
        </w:tc>
        <w:tc>
          <w:tcPr>
            <w:tcW w:w="717" w:type="dxa"/>
            <w:tcBorders>
              <w:top w:val="nil"/>
              <w:left w:val="nil"/>
              <w:bottom w:val="single" w:sz="4" w:space="0" w:color="000000"/>
              <w:right w:val="single" w:sz="4" w:space="0" w:color="000000"/>
            </w:tcBorders>
            <w:noWrap/>
            <w:vAlign w:val="center"/>
            <w:hideMark/>
          </w:tcPr>
          <w:p w14:paraId="632B436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3,063</w:t>
            </w:r>
          </w:p>
        </w:tc>
        <w:tc>
          <w:tcPr>
            <w:tcW w:w="717" w:type="dxa"/>
            <w:tcBorders>
              <w:top w:val="nil"/>
              <w:left w:val="nil"/>
              <w:bottom w:val="single" w:sz="4" w:space="0" w:color="000000"/>
              <w:right w:val="single" w:sz="4" w:space="0" w:color="000000"/>
            </w:tcBorders>
            <w:noWrap/>
            <w:vAlign w:val="center"/>
            <w:hideMark/>
          </w:tcPr>
          <w:p w14:paraId="0DC6DAA9"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2,724</w:t>
            </w:r>
          </w:p>
        </w:tc>
        <w:tc>
          <w:tcPr>
            <w:tcW w:w="671" w:type="dxa"/>
            <w:tcBorders>
              <w:top w:val="nil"/>
              <w:left w:val="nil"/>
              <w:bottom w:val="single" w:sz="4" w:space="0" w:color="000000"/>
              <w:right w:val="single" w:sz="4" w:space="0" w:color="auto"/>
            </w:tcBorders>
            <w:noWrap/>
            <w:vAlign w:val="center"/>
            <w:hideMark/>
          </w:tcPr>
          <w:p w14:paraId="20BF3700"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2,410</w:t>
            </w:r>
          </w:p>
        </w:tc>
      </w:tr>
      <w:tr w:rsidR="00D47C54" w:rsidRPr="00D47C54" w14:paraId="5FB0BAE3" w14:textId="77777777" w:rsidTr="00D767EF">
        <w:trPr>
          <w:trHeight w:val="300"/>
        </w:trPr>
        <w:tc>
          <w:tcPr>
            <w:tcW w:w="11243" w:type="dxa"/>
            <w:gridSpan w:val="12"/>
            <w:tcBorders>
              <w:top w:val="single" w:sz="4" w:space="0" w:color="000000"/>
              <w:left w:val="single" w:sz="4" w:space="0" w:color="auto"/>
              <w:bottom w:val="single" w:sz="4" w:space="0" w:color="000000"/>
              <w:right w:val="single" w:sz="4" w:space="0" w:color="auto"/>
            </w:tcBorders>
            <w:shd w:val="clear" w:color="EBF8FF" w:fill="EBF8FF"/>
            <w:noWrap/>
            <w:vAlign w:val="center"/>
            <w:hideMark/>
          </w:tcPr>
          <w:p w14:paraId="3D757FB3" w14:textId="77777777" w:rsidR="00D47C54" w:rsidRPr="0002513C" w:rsidRDefault="00D47C54" w:rsidP="00D47C54">
            <w:pPr>
              <w:spacing w:after="0" w:line="240" w:lineRule="auto"/>
              <w:rPr>
                <w:rFonts w:ascii="Times New Roman" w:eastAsia="Times New Roman" w:hAnsi="Times New Roman" w:cs="Times New Roman"/>
                <w:b/>
                <w:bCs/>
                <w:color w:val="1F497D"/>
                <w:sz w:val="20"/>
                <w:szCs w:val="20"/>
                <w:lang w:eastAsia="en-IN" w:bidi="bn-IN"/>
              </w:rPr>
            </w:pPr>
            <w:r w:rsidRPr="0002513C">
              <w:rPr>
                <w:rFonts w:ascii="Times New Roman" w:eastAsia="Times New Roman" w:hAnsi="Times New Roman" w:cs="Times New Roman"/>
                <w:b/>
                <w:bCs/>
                <w:color w:val="1F497D"/>
                <w:sz w:val="20"/>
                <w:szCs w:val="20"/>
                <w:lang w:eastAsia="en-IN" w:bidi="bn-IN"/>
              </w:rPr>
              <w:t>Exchange rate</w:t>
            </w:r>
          </w:p>
        </w:tc>
      </w:tr>
      <w:tr w:rsidR="00D47C54" w:rsidRPr="00D47C54" w14:paraId="33871CD7" w14:textId="77777777" w:rsidTr="00D767EF">
        <w:trPr>
          <w:trHeight w:val="300"/>
        </w:trPr>
        <w:tc>
          <w:tcPr>
            <w:tcW w:w="3402" w:type="dxa"/>
            <w:tcBorders>
              <w:top w:val="nil"/>
              <w:left w:val="single" w:sz="4" w:space="0" w:color="auto"/>
              <w:bottom w:val="single" w:sz="4" w:space="0" w:color="000000"/>
              <w:right w:val="single" w:sz="4" w:space="0" w:color="000000"/>
            </w:tcBorders>
            <w:noWrap/>
            <w:vAlign w:val="center"/>
            <w:hideMark/>
          </w:tcPr>
          <w:p w14:paraId="19FE6D89"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Meticais per US dollar, end of period</w:t>
            </w:r>
          </w:p>
        </w:tc>
        <w:tc>
          <w:tcPr>
            <w:tcW w:w="717" w:type="dxa"/>
            <w:tcBorders>
              <w:top w:val="nil"/>
              <w:left w:val="nil"/>
              <w:bottom w:val="single" w:sz="4" w:space="0" w:color="000000"/>
              <w:right w:val="single" w:sz="4" w:space="0" w:color="000000"/>
            </w:tcBorders>
            <w:noWrap/>
            <w:vAlign w:val="center"/>
            <w:hideMark/>
          </w:tcPr>
          <w:p w14:paraId="50BCD6C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74.9</w:t>
            </w:r>
          </w:p>
        </w:tc>
        <w:tc>
          <w:tcPr>
            <w:tcW w:w="717" w:type="dxa"/>
            <w:tcBorders>
              <w:top w:val="nil"/>
              <w:left w:val="nil"/>
              <w:bottom w:val="single" w:sz="4" w:space="0" w:color="000000"/>
              <w:right w:val="single" w:sz="4" w:space="0" w:color="000000"/>
            </w:tcBorders>
            <w:noWrap/>
            <w:vAlign w:val="center"/>
            <w:hideMark/>
          </w:tcPr>
          <w:p w14:paraId="77890229"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63.8</w:t>
            </w:r>
          </w:p>
        </w:tc>
        <w:tc>
          <w:tcPr>
            <w:tcW w:w="717" w:type="dxa"/>
            <w:tcBorders>
              <w:top w:val="nil"/>
              <w:left w:val="nil"/>
              <w:bottom w:val="single" w:sz="4" w:space="0" w:color="000000"/>
              <w:right w:val="single" w:sz="4" w:space="0" w:color="000000"/>
            </w:tcBorders>
            <w:noWrap/>
            <w:vAlign w:val="center"/>
            <w:hideMark/>
          </w:tcPr>
          <w:p w14:paraId="5E24C59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63.9</w:t>
            </w:r>
          </w:p>
        </w:tc>
        <w:tc>
          <w:tcPr>
            <w:tcW w:w="717" w:type="dxa"/>
            <w:tcBorders>
              <w:top w:val="nil"/>
              <w:left w:val="nil"/>
              <w:bottom w:val="single" w:sz="4" w:space="0" w:color="000000"/>
              <w:right w:val="single" w:sz="4" w:space="0" w:color="000000"/>
            </w:tcBorders>
            <w:noWrap/>
            <w:vAlign w:val="center"/>
            <w:hideMark/>
          </w:tcPr>
          <w:p w14:paraId="43BE3FC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63.9</w:t>
            </w:r>
          </w:p>
        </w:tc>
        <w:tc>
          <w:tcPr>
            <w:tcW w:w="717" w:type="dxa"/>
            <w:tcBorders>
              <w:top w:val="nil"/>
              <w:left w:val="nil"/>
              <w:bottom w:val="single" w:sz="4" w:space="0" w:color="000000"/>
              <w:right w:val="single" w:sz="4" w:space="0" w:color="000000"/>
            </w:tcBorders>
            <w:noWrap/>
            <w:vAlign w:val="center"/>
            <w:hideMark/>
          </w:tcPr>
          <w:p w14:paraId="74A2698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63.9</w:t>
            </w:r>
          </w:p>
        </w:tc>
        <w:tc>
          <w:tcPr>
            <w:tcW w:w="717" w:type="dxa"/>
            <w:tcBorders>
              <w:top w:val="nil"/>
              <w:left w:val="nil"/>
              <w:bottom w:val="single" w:sz="4" w:space="0" w:color="000000"/>
              <w:right w:val="single" w:sz="4" w:space="0" w:color="000000"/>
            </w:tcBorders>
            <w:noWrap/>
            <w:vAlign w:val="center"/>
            <w:hideMark/>
          </w:tcPr>
          <w:p w14:paraId="15B8040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w:t>
            </w:r>
          </w:p>
        </w:tc>
        <w:tc>
          <w:tcPr>
            <w:tcW w:w="717" w:type="dxa"/>
            <w:tcBorders>
              <w:top w:val="nil"/>
              <w:left w:val="nil"/>
              <w:bottom w:val="single" w:sz="4" w:space="0" w:color="000000"/>
              <w:right w:val="single" w:sz="4" w:space="0" w:color="000000"/>
            </w:tcBorders>
            <w:noWrap/>
            <w:vAlign w:val="center"/>
            <w:hideMark/>
          </w:tcPr>
          <w:p w14:paraId="4F7FC7E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w:t>
            </w:r>
          </w:p>
        </w:tc>
        <w:tc>
          <w:tcPr>
            <w:tcW w:w="717" w:type="dxa"/>
            <w:tcBorders>
              <w:top w:val="nil"/>
              <w:left w:val="nil"/>
              <w:bottom w:val="single" w:sz="4" w:space="0" w:color="000000"/>
              <w:right w:val="single" w:sz="4" w:space="0" w:color="000000"/>
            </w:tcBorders>
            <w:noWrap/>
            <w:vAlign w:val="center"/>
            <w:hideMark/>
          </w:tcPr>
          <w:p w14:paraId="7425B632"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w:t>
            </w:r>
          </w:p>
        </w:tc>
        <w:tc>
          <w:tcPr>
            <w:tcW w:w="717" w:type="dxa"/>
            <w:tcBorders>
              <w:top w:val="nil"/>
              <w:left w:val="nil"/>
              <w:bottom w:val="single" w:sz="4" w:space="0" w:color="000000"/>
              <w:right w:val="single" w:sz="4" w:space="0" w:color="000000"/>
            </w:tcBorders>
            <w:noWrap/>
            <w:vAlign w:val="center"/>
            <w:hideMark/>
          </w:tcPr>
          <w:p w14:paraId="65CB99F7"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w:t>
            </w:r>
          </w:p>
        </w:tc>
        <w:tc>
          <w:tcPr>
            <w:tcW w:w="717" w:type="dxa"/>
            <w:tcBorders>
              <w:top w:val="nil"/>
              <w:left w:val="nil"/>
              <w:bottom w:val="single" w:sz="4" w:space="0" w:color="000000"/>
              <w:right w:val="single" w:sz="4" w:space="0" w:color="000000"/>
            </w:tcBorders>
            <w:noWrap/>
            <w:vAlign w:val="center"/>
            <w:hideMark/>
          </w:tcPr>
          <w:p w14:paraId="4EDE9808"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w:t>
            </w:r>
          </w:p>
        </w:tc>
        <w:tc>
          <w:tcPr>
            <w:tcW w:w="671" w:type="dxa"/>
            <w:tcBorders>
              <w:top w:val="nil"/>
              <w:left w:val="nil"/>
              <w:bottom w:val="single" w:sz="4" w:space="0" w:color="000000"/>
              <w:right w:val="single" w:sz="4" w:space="0" w:color="auto"/>
            </w:tcBorders>
            <w:noWrap/>
            <w:vAlign w:val="center"/>
            <w:hideMark/>
          </w:tcPr>
          <w:p w14:paraId="4C7B5C0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w:t>
            </w:r>
          </w:p>
        </w:tc>
      </w:tr>
      <w:tr w:rsidR="00D47C54" w:rsidRPr="00D47C54" w14:paraId="73F848BC" w14:textId="77777777" w:rsidTr="00D767EF">
        <w:trPr>
          <w:trHeight w:val="300"/>
        </w:trPr>
        <w:tc>
          <w:tcPr>
            <w:tcW w:w="3402" w:type="dxa"/>
            <w:tcBorders>
              <w:top w:val="nil"/>
              <w:left w:val="single" w:sz="4" w:space="0" w:color="auto"/>
              <w:bottom w:val="single" w:sz="4" w:space="0" w:color="000000"/>
              <w:right w:val="single" w:sz="4" w:space="0" w:color="000000"/>
            </w:tcBorders>
            <w:shd w:val="clear" w:color="F7FAFC" w:fill="F7FAFC"/>
            <w:noWrap/>
            <w:vAlign w:val="center"/>
            <w:hideMark/>
          </w:tcPr>
          <w:p w14:paraId="616A2DD5"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Meticais per US dollar, period average</w:t>
            </w:r>
          </w:p>
        </w:tc>
        <w:tc>
          <w:tcPr>
            <w:tcW w:w="717" w:type="dxa"/>
            <w:tcBorders>
              <w:top w:val="nil"/>
              <w:left w:val="nil"/>
              <w:bottom w:val="single" w:sz="4" w:space="0" w:color="000000"/>
              <w:right w:val="single" w:sz="4" w:space="0" w:color="000000"/>
            </w:tcBorders>
            <w:shd w:val="clear" w:color="F7FAFC" w:fill="F7FAFC"/>
            <w:noWrap/>
            <w:vAlign w:val="center"/>
            <w:hideMark/>
          </w:tcPr>
          <w:p w14:paraId="416D3A6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69.5</w:t>
            </w:r>
          </w:p>
        </w:tc>
        <w:tc>
          <w:tcPr>
            <w:tcW w:w="717" w:type="dxa"/>
            <w:tcBorders>
              <w:top w:val="nil"/>
              <w:left w:val="nil"/>
              <w:bottom w:val="single" w:sz="4" w:space="0" w:color="000000"/>
              <w:right w:val="single" w:sz="4" w:space="0" w:color="000000"/>
            </w:tcBorders>
            <w:shd w:val="clear" w:color="F7FAFC" w:fill="F7FAFC"/>
            <w:noWrap/>
            <w:vAlign w:val="center"/>
            <w:hideMark/>
          </w:tcPr>
          <w:p w14:paraId="1665EB6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65.5</w:t>
            </w:r>
          </w:p>
        </w:tc>
        <w:tc>
          <w:tcPr>
            <w:tcW w:w="717" w:type="dxa"/>
            <w:tcBorders>
              <w:top w:val="nil"/>
              <w:left w:val="nil"/>
              <w:bottom w:val="single" w:sz="4" w:space="0" w:color="000000"/>
              <w:right w:val="single" w:sz="4" w:space="0" w:color="000000"/>
            </w:tcBorders>
            <w:shd w:val="clear" w:color="F7FAFC" w:fill="F7FAFC"/>
            <w:noWrap/>
            <w:vAlign w:val="center"/>
            <w:hideMark/>
          </w:tcPr>
          <w:p w14:paraId="5F0425BB"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63.9</w:t>
            </w:r>
          </w:p>
        </w:tc>
        <w:tc>
          <w:tcPr>
            <w:tcW w:w="717" w:type="dxa"/>
            <w:tcBorders>
              <w:top w:val="nil"/>
              <w:left w:val="nil"/>
              <w:bottom w:val="single" w:sz="4" w:space="0" w:color="000000"/>
              <w:right w:val="single" w:sz="4" w:space="0" w:color="000000"/>
            </w:tcBorders>
            <w:shd w:val="clear" w:color="F7FAFC" w:fill="F7FAFC"/>
            <w:noWrap/>
            <w:vAlign w:val="center"/>
            <w:hideMark/>
          </w:tcPr>
          <w:p w14:paraId="3D285EEF"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63.9</w:t>
            </w:r>
          </w:p>
        </w:tc>
        <w:tc>
          <w:tcPr>
            <w:tcW w:w="717" w:type="dxa"/>
            <w:tcBorders>
              <w:top w:val="nil"/>
              <w:left w:val="nil"/>
              <w:bottom w:val="single" w:sz="4" w:space="0" w:color="000000"/>
              <w:right w:val="single" w:sz="4" w:space="0" w:color="000000"/>
            </w:tcBorders>
            <w:shd w:val="clear" w:color="F7FAFC" w:fill="F7FAFC"/>
            <w:noWrap/>
            <w:vAlign w:val="center"/>
            <w:hideMark/>
          </w:tcPr>
          <w:p w14:paraId="50CED529"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63.9</w:t>
            </w:r>
          </w:p>
        </w:tc>
        <w:tc>
          <w:tcPr>
            <w:tcW w:w="717" w:type="dxa"/>
            <w:tcBorders>
              <w:top w:val="nil"/>
              <w:left w:val="nil"/>
              <w:bottom w:val="single" w:sz="4" w:space="0" w:color="000000"/>
              <w:right w:val="single" w:sz="4" w:space="0" w:color="000000"/>
            </w:tcBorders>
            <w:shd w:val="clear" w:color="F7FAFC" w:fill="F7FAFC"/>
            <w:noWrap/>
            <w:vAlign w:val="center"/>
            <w:hideMark/>
          </w:tcPr>
          <w:p w14:paraId="29D453AC"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w:t>
            </w:r>
          </w:p>
        </w:tc>
        <w:tc>
          <w:tcPr>
            <w:tcW w:w="717" w:type="dxa"/>
            <w:tcBorders>
              <w:top w:val="nil"/>
              <w:left w:val="nil"/>
              <w:bottom w:val="single" w:sz="4" w:space="0" w:color="000000"/>
              <w:right w:val="single" w:sz="4" w:space="0" w:color="000000"/>
            </w:tcBorders>
            <w:shd w:val="clear" w:color="F7FAFC" w:fill="F7FAFC"/>
            <w:noWrap/>
            <w:vAlign w:val="center"/>
            <w:hideMark/>
          </w:tcPr>
          <w:p w14:paraId="519AB5C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w:t>
            </w:r>
          </w:p>
        </w:tc>
        <w:tc>
          <w:tcPr>
            <w:tcW w:w="717" w:type="dxa"/>
            <w:tcBorders>
              <w:top w:val="nil"/>
              <w:left w:val="nil"/>
              <w:bottom w:val="single" w:sz="4" w:space="0" w:color="000000"/>
              <w:right w:val="single" w:sz="4" w:space="0" w:color="000000"/>
            </w:tcBorders>
            <w:shd w:val="clear" w:color="F7FAFC" w:fill="F7FAFC"/>
            <w:noWrap/>
            <w:vAlign w:val="center"/>
            <w:hideMark/>
          </w:tcPr>
          <w:p w14:paraId="373CEB16"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w:t>
            </w:r>
          </w:p>
        </w:tc>
        <w:tc>
          <w:tcPr>
            <w:tcW w:w="717" w:type="dxa"/>
            <w:tcBorders>
              <w:top w:val="nil"/>
              <w:left w:val="nil"/>
              <w:bottom w:val="single" w:sz="4" w:space="0" w:color="000000"/>
              <w:right w:val="single" w:sz="4" w:space="0" w:color="000000"/>
            </w:tcBorders>
            <w:shd w:val="clear" w:color="F7FAFC" w:fill="F7FAFC"/>
            <w:noWrap/>
            <w:vAlign w:val="center"/>
            <w:hideMark/>
          </w:tcPr>
          <w:p w14:paraId="371389A1"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w:t>
            </w:r>
          </w:p>
        </w:tc>
        <w:tc>
          <w:tcPr>
            <w:tcW w:w="717" w:type="dxa"/>
            <w:tcBorders>
              <w:top w:val="nil"/>
              <w:left w:val="nil"/>
              <w:bottom w:val="single" w:sz="4" w:space="0" w:color="000000"/>
              <w:right w:val="single" w:sz="4" w:space="0" w:color="000000"/>
            </w:tcBorders>
            <w:shd w:val="clear" w:color="F7FAFC" w:fill="F7FAFC"/>
            <w:noWrap/>
            <w:vAlign w:val="center"/>
            <w:hideMark/>
          </w:tcPr>
          <w:p w14:paraId="0393A8C7"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w:t>
            </w:r>
          </w:p>
        </w:tc>
        <w:tc>
          <w:tcPr>
            <w:tcW w:w="671" w:type="dxa"/>
            <w:tcBorders>
              <w:top w:val="nil"/>
              <w:left w:val="nil"/>
              <w:bottom w:val="single" w:sz="4" w:space="0" w:color="000000"/>
              <w:right w:val="single" w:sz="4" w:space="0" w:color="auto"/>
            </w:tcBorders>
            <w:shd w:val="clear" w:color="F7FAFC" w:fill="F7FAFC"/>
            <w:noWrap/>
            <w:vAlign w:val="center"/>
            <w:hideMark/>
          </w:tcPr>
          <w:p w14:paraId="52BE921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w:t>
            </w:r>
          </w:p>
        </w:tc>
      </w:tr>
      <w:tr w:rsidR="00D47C54" w:rsidRPr="00D47C54" w14:paraId="2411A9C5" w14:textId="77777777" w:rsidTr="00D767EF">
        <w:trPr>
          <w:trHeight w:val="300"/>
        </w:trPr>
        <w:tc>
          <w:tcPr>
            <w:tcW w:w="3402" w:type="dxa"/>
            <w:tcBorders>
              <w:top w:val="nil"/>
              <w:left w:val="single" w:sz="4" w:space="0" w:color="auto"/>
              <w:bottom w:val="single" w:sz="4" w:space="0" w:color="000000"/>
              <w:right w:val="single" w:sz="4" w:space="0" w:color="000000"/>
            </w:tcBorders>
            <w:noWrap/>
            <w:vAlign w:val="center"/>
            <w:hideMark/>
          </w:tcPr>
          <w:p w14:paraId="170B4B36" w14:textId="77777777" w:rsidR="00D47C54" w:rsidRPr="0002513C" w:rsidRDefault="00D47C54" w:rsidP="00D47C54">
            <w:pPr>
              <w:spacing w:after="0" w:line="240" w:lineRule="auto"/>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 xml:space="preserve">  Real effective exchange rate (Percentage change)</w:t>
            </w:r>
          </w:p>
        </w:tc>
        <w:tc>
          <w:tcPr>
            <w:tcW w:w="717" w:type="dxa"/>
            <w:tcBorders>
              <w:top w:val="nil"/>
              <w:left w:val="nil"/>
              <w:bottom w:val="single" w:sz="4" w:space="0" w:color="000000"/>
              <w:right w:val="single" w:sz="4" w:space="0" w:color="000000"/>
            </w:tcBorders>
            <w:noWrap/>
            <w:vAlign w:val="center"/>
            <w:hideMark/>
          </w:tcPr>
          <w:p w14:paraId="27511449"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-5.4</w:t>
            </w:r>
          </w:p>
        </w:tc>
        <w:tc>
          <w:tcPr>
            <w:tcW w:w="717" w:type="dxa"/>
            <w:tcBorders>
              <w:top w:val="nil"/>
              <w:left w:val="nil"/>
              <w:bottom w:val="single" w:sz="4" w:space="0" w:color="000000"/>
              <w:right w:val="single" w:sz="4" w:space="0" w:color="000000"/>
            </w:tcBorders>
            <w:noWrap/>
            <w:vAlign w:val="center"/>
            <w:hideMark/>
          </w:tcPr>
          <w:p w14:paraId="6C83FAC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3.5</w:t>
            </w:r>
          </w:p>
        </w:tc>
        <w:tc>
          <w:tcPr>
            <w:tcW w:w="717" w:type="dxa"/>
            <w:tcBorders>
              <w:top w:val="nil"/>
              <w:left w:val="nil"/>
              <w:bottom w:val="single" w:sz="4" w:space="0" w:color="000000"/>
              <w:right w:val="single" w:sz="4" w:space="0" w:color="000000"/>
            </w:tcBorders>
            <w:noWrap/>
            <w:vAlign w:val="center"/>
            <w:hideMark/>
          </w:tcPr>
          <w:p w14:paraId="1E3972DA"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13.5</w:t>
            </w:r>
          </w:p>
        </w:tc>
        <w:tc>
          <w:tcPr>
            <w:tcW w:w="717" w:type="dxa"/>
            <w:tcBorders>
              <w:top w:val="nil"/>
              <w:left w:val="nil"/>
              <w:bottom w:val="single" w:sz="4" w:space="0" w:color="000000"/>
              <w:right w:val="single" w:sz="4" w:space="0" w:color="000000"/>
            </w:tcBorders>
            <w:noWrap/>
            <w:vAlign w:val="center"/>
            <w:hideMark/>
          </w:tcPr>
          <w:p w14:paraId="1CF7C9B9"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7.0</w:t>
            </w:r>
          </w:p>
        </w:tc>
        <w:tc>
          <w:tcPr>
            <w:tcW w:w="717" w:type="dxa"/>
            <w:tcBorders>
              <w:top w:val="nil"/>
              <w:left w:val="nil"/>
              <w:bottom w:val="single" w:sz="4" w:space="0" w:color="000000"/>
              <w:right w:val="single" w:sz="4" w:space="0" w:color="000000"/>
            </w:tcBorders>
            <w:noWrap/>
            <w:vAlign w:val="center"/>
            <w:hideMark/>
          </w:tcPr>
          <w:p w14:paraId="69027E58"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2.1</w:t>
            </w:r>
          </w:p>
        </w:tc>
        <w:tc>
          <w:tcPr>
            <w:tcW w:w="717" w:type="dxa"/>
            <w:tcBorders>
              <w:top w:val="nil"/>
              <w:left w:val="nil"/>
              <w:bottom w:val="single" w:sz="4" w:space="0" w:color="000000"/>
              <w:right w:val="single" w:sz="4" w:space="0" w:color="000000"/>
            </w:tcBorders>
            <w:noWrap/>
            <w:vAlign w:val="center"/>
            <w:hideMark/>
          </w:tcPr>
          <w:p w14:paraId="1FB5E26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N.A.</w:t>
            </w:r>
          </w:p>
        </w:tc>
        <w:tc>
          <w:tcPr>
            <w:tcW w:w="717" w:type="dxa"/>
            <w:tcBorders>
              <w:top w:val="nil"/>
              <w:left w:val="nil"/>
              <w:bottom w:val="single" w:sz="4" w:space="0" w:color="000000"/>
              <w:right w:val="single" w:sz="4" w:space="0" w:color="000000"/>
            </w:tcBorders>
            <w:noWrap/>
            <w:vAlign w:val="center"/>
            <w:hideMark/>
          </w:tcPr>
          <w:p w14:paraId="1FBAE9CD"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N.A.</w:t>
            </w:r>
          </w:p>
        </w:tc>
        <w:tc>
          <w:tcPr>
            <w:tcW w:w="717" w:type="dxa"/>
            <w:tcBorders>
              <w:top w:val="nil"/>
              <w:left w:val="nil"/>
              <w:bottom w:val="single" w:sz="4" w:space="0" w:color="000000"/>
              <w:right w:val="single" w:sz="4" w:space="0" w:color="000000"/>
            </w:tcBorders>
            <w:noWrap/>
            <w:vAlign w:val="center"/>
            <w:hideMark/>
          </w:tcPr>
          <w:p w14:paraId="60A81E49"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N.A.</w:t>
            </w:r>
          </w:p>
        </w:tc>
        <w:tc>
          <w:tcPr>
            <w:tcW w:w="717" w:type="dxa"/>
            <w:tcBorders>
              <w:top w:val="nil"/>
              <w:left w:val="nil"/>
              <w:bottom w:val="single" w:sz="4" w:space="0" w:color="000000"/>
              <w:right w:val="single" w:sz="4" w:space="0" w:color="000000"/>
            </w:tcBorders>
            <w:noWrap/>
            <w:vAlign w:val="center"/>
            <w:hideMark/>
          </w:tcPr>
          <w:p w14:paraId="2C9EB4EE"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N.A.</w:t>
            </w:r>
          </w:p>
        </w:tc>
        <w:tc>
          <w:tcPr>
            <w:tcW w:w="717" w:type="dxa"/>
            <w:tcBorders>
              <w:top w:val="nil"/>
              <w:left w:val="nil"/>
              <w:bottom w:val="single" w:sz="4" w:space="0" w:color="000000"/>
              <w:right w:val="single" w:sz="4" w:space="0" w:color="000000"/>
            </w:tcBorders>
            <w:noWrap/>
            <w:vAlign w:val="center"/>
            <w:hideMark/>
          </w:tcPr>
          <w:p w14:paraId="5F8FE334"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N.A.</w:t>
            </w:r>
          </w:p>
        </w:tc>
        <w:tc>
          <w:tcPr>
            <w:tcW w:w="671" w:type="dxa"/>
            <w:tcBorders>
              <w:top w:val="nil"/>
              <w:left w:val="nil"/>
              <w:bottom w:val="single" w:sz="4" w:space="0" w:color="000000"/>
              <w:right w:val="single" w:sz="4" w:space="0" w:color="auto"/>
            </w:tcBorders>
            <w:noWrap/>
            <w:vAlign w:val="center"/>
            <w:hideMark/>
          </w:tcPr>
          <w:p w14:paraId="2E0C2C71" w14:textId="77777777" w:rsidR="00D47C54" w:rsidRPr="0002513C" w:rsidRDefault="00D47C54" w:rsidP="0026406C">
            <w:pPr>
              <w:spacing w:after="0" w:line="240" w:lineRule="auto"/>
              <w:jc w:val="center"/>
              <w:rPr>
                <w:rFonts w:ascii="Times New Roman" w:eastAsia="Times New Roman" w:hAnsi="Times New Roman" w:cs="Times New Roman"/>
                <w:sz w:val="20"/>
                <w:szCs w:val="20"/>
                <w:lang w:eastAsia="en-IN" w:bidi="bn-IN"/>
              </w:rPr>
            </w:pPr>
            <w:r w:rsidRPr="0002513C">
              <w:rPr>
                <w:rFonts w:ascii="Times New Roman" w:eastAsia="Times New Roman" w:hAnsi="Times New Roman" w:cs="Times New Roman"/>
                <w:sz w:val="20"/>
                <w:szCs w:val="20"/>
                <w:lang w:eastAsia="en-IN" w:bidi="bn-IN"/>
              </w:rPr>
              <w:t>N.A.</w:t>
            </w:r>
          </w:p>
        </w:tc>
      </w:tr>
      <w:tr w:rsidR="00D47C54" w:rsidRPr="00D47C54" w14:paraId="30AEBB78" w14:textId="77777777" w:rsidTr="00D767EF">
        <w:trPr>
          <w:trHeight w:val="300"/>
        </w:trPr>
        <w:tc>
          <w:tcPr>
            <w:tcW w:w="11243" w:type="dxa"/>
            <w:gridSpan w:val="12"/>
            <w:tcBorders>
              <w:top w:val="single" w:sz="4" w:space="0" w:color="000000"/>
              <w:left w:val="single" w:sz="4" w:space="0" w:color="auto"/>
              <w:bottom w:val="single" w:sz="4" w:space="0" w:color="000000"/>
              <w:right w:val="single" w:sz="4" w:space="0" w:color="auto"/>
            </w:tcBorders>
            <w:noWrap/>
            <w:vAlign w:val="center"/>
            <w:hideMark/>
          </w:tcPr>
          <w:p w14:paraId="54AA9F51" w14:textId="77777777" w:rsidR="00D47C54" w:rsidRPr="0002513C" w:rsidRDefault="00D47C54" w:rsidP="00D47C54">
            <w:pPr>
              <w:spacing w:after="0" w:line="240" w:lineRule="auto"/>
              <w:rPr>
                <w:rFonts w:ascii="Times New Roman" w:eastAsia="Times New Roman" w:hAnsi="Times New Roman" w:cs="Times New Roman"/>
                <w:b/>
                <w:bCs/>
                <w:color w:val="000000" w:themeColor="text1"/>
                <w:sz w:val="16"/>
                <w:szCs w:val="16"/>
                <w:lang w:eastAsia="en-IN" w:bidi="bn-IN"/>
              </w:rPr>
            </w:pPr>
            <w:r w:rsidRPr="0002513C">
              <w:rPr>
                <w:rFonts w:ascii="Times New Roman" w:eastAsia="Times New Roman" w:hAnsi="Times New Roman" w:cs="Times New Roman"/>
                <w:b/>
                <w:bCs/>
                <w:color w:val="000000" w:themeColor="text1"/>
                <w:sz w:val="16"/>
                <w:szCs w:val="16"/>
                <w:lang w:eastAsia="en-IN" w:bidi="bn-IN"/>
              </w:rPr>
              <w:t>Sources: Mozambican authorities; and IMF staff estimates and projections.</w:t>
            </w:r>
          </w:p>
        </w:tc>
      </w:tr>
      <w:tr w:rsidR="00D47C54" w:rsidRPr="00D47C54" w14:paraId="481D3D43" w14:textId="77777777" w:rsidTr="00D767EF">
        <w:trPr>
          <w:trHeight w:val="300"/>
        </w:trPr>
        <w:tc>
          <w:tcPr>
            <w:tcW w:w="11243" w:type="dxa"/>
            <w:gridSpan w:val="12"/>
            <w:tcBorders>
              <w:top w:val="single" w:sz="4" w:space="0" w:color="000000"/>
              <w:left w:val="single" w:sz="4" w:space="0" w:color="auto"/>
              <w:bottom w:val="single" w:sz="4" w:space="0" w:color="000000"/>
              <w:right w:val="single" w:sz="4" w:space="0" w:color="auto"/>
            </w:tcBorders>
            <w:noWrap/>
            <w:vAlign w:val="center"/>
            <w:hideMark/>
          </w:tcPr>
          <w:p w14:paraId="3A5ACAA7" w14:textId="77777777" w:rsidR="00D47C54" w:rsidRPr="0002513C" w:rsidRDefault="00D47C54" w:rsidP="00D47C54">
            <w:pPr>
              <w:spacing w:after="0" w:line="240" w:lineRule="auto"/>
              <w:rPr>
                <w:rFonts w:ascii="Times New Roman" w:eastAsia="Times New Roman" w:hAnsi="Times New Roman" w:cs="Times New Roman"/>
                <w:b/>
                <w:bCs/>
                <w:color w:val="000000" w:themeColor="text1"/>
                <w:sz w:val="16"/>
                <w:szCs w:val="16"/>
                <w:lang w:eastAsia="en-IN" w:bidi="bn-IN"/>
              </w:rPr>
            </w:pPr>
            <w:r w:rsidRPr="0002513C">
              <w:rPr>
                <w:rFonts w:ascii="Times New Roman" w:eastAsia="Times New Roman" w:hAnsi="Times New Roman" w:cs="Times New Roman"/>
                <w:b/>
                <w:bCs/>
                <w:color w:val="000000" w:themeColor="text1"/>
                <w:sz w:val="16"/>
                <w:szCs w:val="16"/>
                <w:lang w:eastAsia="en-IN" w:bidi="bn-IN"/>
              </w:rPr>
              <w:t>1/ Net of verified VAT refund requests.</w:t>
            </w:r>
          </w:p>
        </w:tc>
      </w:tr>
      <w:tr w:rsidR="00D47C54" w:rsidRPr="00D47C54" w14:paraId="10A4CA9A" w14:textId="77777777" w:rsidTr="00D767EF">
        <w:trPr>
          <w:trHeight w:val="300"/>
        </w:trPr>
        <w:tc>
          <w:tcPr>
            <w:tcW w:w="11243" w:type="dxa"/>
            <w:gridSpan w:val="12"/>
            <w:tcBorders>
              <w:top w:val="single" w:sz="4" w:space="0" w:color="000000"/>
              <w:left w:val="single" w:sz="4" w:space="0" w:color="auto"/>
              <w:bottom w:val="single" w:sz="4" w:space="0" w:color="000000"/>
              <w:right w:val="single" w:sz="4" w:space="0" w:color="auto"/>
            </w:tcBorders>
            <w:noWrap/>
            <w:vAlign w:val="center"/>
            <w:hideMark/>
          </w:tcPr>
          <w:p w14:paraId="24C40FF4" w14:textId="77777777" w:rsidR="00D47C54" w:rsidRPr="0002513C" w:rsidRDefault="00D47C54" w:rsidP="00D47C54">
            <w:pPr>
              <w:spacing w:after="0" w:line="240" w:lineRule="auto"/>
              <w:rPr>
                <w:rFonts w:ascii="Times New Roman" w:eastAsia="Times New Roman" w:hAnsi="Times New Roman" w:cs="Times New Roman"/>
                <w:b/>
                <w:bCs/>
                <w:color w:val="000000" w:themeColor="text1"/>
                <w:sz w:val="16"/>
                <w:szCs w:val="16"/>
                <w:lang w:eastAsia="en-IN" w:bidi="bn-IN"/>
              </w:rPr>
            </w:pPr>
            <w:r w:rsidRPr="0002513C">
              <w:rPr>
                <w:rFonts w:ascii="Times New Roman" w:eastAsia="Times New Roman" w:hAnsi="Times New Roman" w:cs="Times New Roman"/>
                <w:b/>
                <w:bCs/>
                <w:color w:val="000000" w:themeColor="text1"/>
                <w:sz w:val="16"/>
                <w:szCs w:val="16"/>
                <w:lang w:eastAsia="en-IN" w:bidi="bn-IN"/>
              </w:rPr>
              <w:t>2/ Public sector debt includes central government debt, ENH debt and SOE domestic debt.</w:t>
            </w:r>
          </w:p>
        </w:tc>
      </w:tr>
      <w:tr w:rsidR="00D47C54" w:rsidRPr="00D47C54" w14:paraId="373F0500" w14:textId="77777777" w:rsidTr="00D767EF">
        <w:trPr>
          <w:trHeight w:val="300"/>
        </w:trPr>
        <w:tc>
          <w:tcPr>
            <w:tcW w:w="11243" w:type="dxa"/>
            <w:gridSpan w:val="12"/>
            <w:tcBorders>
              <w:top w:val="single" w:sz="4" w:space="0" w:color="000000"/>
              <w:left w:val="single" w:sz="4" w:space="0" w:color="auto"/>
              <w:bottom w:val="single" w:sz="4" w:space="0" w:color="000000"/>
              <w:right w:val="single" w:sz="4" w:space="0" w:color="auto"/>
            </w:tcBorders>
            <w:noWrap/>
            <w:vAlign w:val="center"/>
            <w:hideMark/>
          </w:tcPr>
          <w:p w14:paraId="1CFD29F3" w14:textId="77777777" w:rsidR="00D47C54" w:rsidRPr="0002513C" w:rsidRDefault="00D47C54" w:rsidP="00D47C54">
            <w:pPr>
              <w:spacing w:after="0" w:line="240" w:lineRule="auto"/>
              <w:rPr>
                <w:rFonts w:ascii="Times New Roman" w:eastAsia="Times New Roman" w:hAnsi="Times New Roman" w:cs="Times New Roman"/>
                <w:b/>
                <w:bCs/>
                <w:color w:val="000000" w:themeColor="text1"/>
                <w:sz w:val="16"/>
                <w:szCs w:val="16"/>
                <w:lang w:eastAsia="en-IN" w:bidi="bn-IN"/>
              </w:rPr>
            </w:pPr>
            <w:r w:rsidRPr="0002513C">
              <w:rPr>
                <w:rFonts w:ascii="Times New Roman" w:eastAsia="Times New Roman" w:hAnsi="Times New Roman" w:cs="Times New Roman"/>
                <w:b/>
                <w:bCs/>
                <w:color w:val="000000" w:themeColor="text1"/>
                <w:sz w:val="16"/>
                <w:szCs w:val="16"/>
                <w:lang w:eastAsia="en-IN" w:bidi="bn-IN"/>
              </w:rPr>
              <w:t>3/ Mozambique Interbank Market Offer rate (MIMO, latest as of June 2024).</w:t>
            </w:r>
          </w:p>
        </w:tc>
      </w:tr>
      <w:tr w:rsidR="00D47C54" w:rsidRPr="00D47C54" w14:paraId="7A959C20" w14:textId="77777777" w:rsidTr="00D767EF">
        <w:trPr>
          <w:trHeight w:val="300"/>
        </w:trPr>
        <w:tc>
          <w:tcPr>
            <w:tcW w:w="11243" w:type="dxa"/>
            <w:gridSpan w:val="12"/>
            <w:tcBorders>
              <w:top w:val="single" w:sz="4" w:space="0" w:color="000000"/>
              <w:left w:val="single" w:sz="4" w:space="0" w:color="auto"/>
              <w:bottom w:val="single" w:sz="4" w:space="0" w:color="auto"/>
              <w:right w:val="single" w:sz="4" w:space="0" w:color="auto"/>
            </w:tcBorders>
            <w:noWrap/>
            <w:vAlign w:val="center"/>
            <w:hideMark/>
          </w:tcPr>
          <w:p w14:paraId="07AFB3E9" w14:textId="77777777" w:rsidR="00D47C54" w:rsidRPr="0002513C" w:rsidRDefault="00D47C54" w:rsidP="00D47C54">
            <w:pPr>
              <w:spacing w:after="0" w:line="240" w:lineRule="auto"/>
              <w:rPr>
                <w:rFonts w:ascii="Times New Roman" w:eastAsia="Times New Roman" w:hAnsi="Times New Roman" w:cs="Times New Roman"/>
                <w:b/>
                <w:bCs/>
                <w:color w:val="000000" w:themeColor="text1"/>
                <w:sz w:val="16"/>
                <w:szCs w:val="16"/>
                <w:lang w:eastAsia="en-IN" w:bidi="bn-IN"/>
              </w:rPr>
            </w:pPr>
            <w:r w:rsidRPr="0002513C">
              <w:rPr>
                <w:rFonts w:ascii="Times New Roman" w:eastAsia="Times New Roman" w:hAnsi="Times New Roman" w:cs="Times New Roman"/>
                <w:b/>
                <w:bCs/>
                <w:color w:val="000000" w:themeColor="text1"/>
                <w:sz w:val="16"/>
                <w:szCs w:val="16"/>
                <w:lang w:eastAsia="en-IN" w:bidi="bn-IN"/>
              </w:rPr>
              <w:t>4/ Structural domestic primary balance excludes LNG revenues, and one-off revenue/expenditure.</w:t>
            </w:r>
          </w:p>
        </w:tc>
      </w:tr>
    </w:tbl>
    <w:p w14:paraId="58937774" w14:textId="77777777" w:rsidR="00D47C54" w:rsidRDefault="00D47C54" w:rsidP="00206F6B">
      <w:pPr>
        <w:spacing w:before="100" w:beforeAutospacing="1" w:after="100" w:afterAutospacing="1" w:line="240" w:lineRule="auto"/>
        <w:jc w:val="both"/>
        <w:rPr>
          <w:rFonts w:ascii="Times New Roman" w:hAnsi="Times New Roman" w:cs="Times New Roman"/>
          <w:b/>
          <w:color w:val="00B050"/>
          <w:sz w:val="24"/>
          <w:szCs w:val="24"/>
        </w:rPr>
      </w:pPr>
    </w:p>
    <w:p w14:paraId="2C5A727C" w14:textId="77777777" w:rsidR="00D47C54" w:rsidRDefault="00D47C54" w:rsidP="00206F6B">
      <w:pPr>
        <w:spacing w:before="100" w:beforeAutospacing="1" w:after="100" w:afterAutospacing="1" w:line="240" w:lineRule="auto"/>
        <w:jc w:val="both"/>
        <w:rPr>
          <w:rFonts w:ascii="Times New Roman" w:hAnsi="Times New Roman" w:cs="Times New Roman"/>
          <w:b/>
          <w:color w:val="00B050"/>
          <w:sz w:val="24"/>
          <w:szCs w:val="24"/>
        </w:rPr>
      </w:pPr>
    </w:p>
    <w:p w14:paraId="24E6D49E" w14:textId="77777777" w:rsidR="00D47C54" w:rsidRDefault="00D47C54" w:rsidP="00206F6B">
      <w:pPr>
        <w:spacing w:before="100" w:beforeAutospacing="1" w:after="100" w:afterAutospacing="1" w:line="240" w:lineRule="auto"/>
        <w:jc w:val="both"/>
        <w:rPr>
          <w:rFonts w:ascii="Times New Roman" w:hAnsi="Times New Roman" w:cs="Times New Roman"/>
          <w:b/>
          <w:color w:val="00B050"/>
          <w:sz w:val="24"/>
          <w:szCs w:val="24"/>
        </w:rPr>
      </w:pPr>
    </w:p>
    <w:p w14:paraId="46777582" w14:textId="77777777" w:rsidR="00D47C54" w:rsidRDefault="00D47C54" w:rsidP="00206F6B">
      <w:pPr>
        <w:spacing w:before="100" w:beforeAutospacing="1" w:after="100" w:afterAutospacing="1" w:line="240" w:lineRule="auto"/>
        <w:jc w:val="both"/>
        <w:rPr>
          <w:rFonts w:ascii="Times New Roman" w:hAnsi="Times New Roman" w:cs="Times New Roman"/>
          <w:b/>
          <w:color w:val="00B050"/>
          <w:sz w:val="24"/>
          <w:szCs w:val="24"/>
        </w:rPr>
      </w:pPr>
    </w:p>
    <w:p w14:paraId="6FE3DA55" w14:textId="77777777" w:rsidR="00D47C54" w:rsidRDefault="00D47C54" w:rsidP="00206F6B">
      <w:pPr>
        <w:spacing w:before="100" w:beforeAutospacing="1" w:after="100" w:afterAutospacing="1" w:line="240" w:lineRule="auto"/>
        <w:jc w:val="both"/>
        <w:rPr>
          <w:rFonts w:ascii="Times New Roman" w:hAnsi="Times New Roman" w:cs="Times New Roman"/>
          <w:b/>
          <w:color w:val="00B050"/>
          <w:sz w:val="24"/>
          <w:szCs w:val="24"/>
        </w:rPr>
      </w:pPr>
    </w:p>
    <w:p w14:paraId="133BF47B" w14:textId="77777777" w:rsidR="00D47C54" w:rsidRDefault="00D47C54" w:rsidP="00206F6B">
      <w:pPr>
        <w:spacing w:before="100" w:beforeAutospacing="1" w:after="100" w:afterAutospacing="1" w:line="240" w:lineRule="auto"/>
        <w:jc w:val="both"/>
        <w:rPr>
          <w:rFonts w:ascii="Times New Roman" w:hAnsi="Times New Roman" w:cs="Times New Roman"/>
          <w:b/>
          <w:color w:val="00B050"/>
          <w:sz w:val="24"/>
          <w:szCs w:val="24"/>
        </w:rPr>
      </w:pPr>
    </w:p>
    <w:p w14:paraId="7E1EC110" w14:textId="77777777" w:rsidR="00D47C54" w:rsidRDefault="00D47C54" w:rsidP="00206F6B">
      <w:pPr>
        <w:spacing w:before="100" w:beforeAutospacing="1" w:after="100" w:afterAutospacing="1" w:line="240" w:lineRule="auto"/>
        <w:jc w:val="both"/>
        <w:rPr>
          <w:rFonts w:ascii="Times New Roman" w:hAnsi="Times New Roman" w:cs="Times New Roman"/>
          <w:b/>
          <w:color w:val="00B050"/>
          <w:sz w:val="24"/>
          <w:szCs w:val="24"/>
        </w:rPr>
      </w:pPr>
    </w:p>
    <w:p w14:paraId="44A513CE" w14:textId="77777777" w:rsidR="004C7732" w:rsidRPr="00890BFE" w:rsidRDefault="004C7732" w:rsidP="00206F6B">
      <w:pPr>
        <w:spacing w:before="100" w:beforeAutospacing="1" w:after="100" w:afterAutospacing="1" w:line="240" w:lineRule="auto"/>
        <w:jc w:val="both"/>
        <w:rPr>
          <w:rFonts w:ascii="Times New Roman" w:hAnsi="Times New Roman" w:cs="Times New Roman"/>
          <w:b/>
          <w:color w:val="00B050"/>
          <w:sz w:val="24"/>
          <w:szCs w:val="24"/>
        </w:rPr>
      </w:pPr>
      <w:r w:rsidRPr="00890BFE">
        <w:rPr>
          <w:rFonts w:ascii="Times New Roman" w:hAnsi="Times New Roman" w:cs="Times New Roman"/>
          <w:b/>
          <w:color w:val="00B050"/>
          <w:sz w:val="24"/>
          <w:szCs w:val="24"/>
        </w:rPr>
        <w:lastRenderedPageBreak/>
        <w:t>FOREIGN TRADE</w:t>
      </w:r>
    </w:p>
    <w:p w14:paraId="0BF5A97E" w14:textId="77777777" w:rsidR="00AC7555" w:rsidRPr="00F267FD" w:rsidRDefault="00C74659" w:rsidP="00F267FD">
      <w:pPr>
        <w:pStyle w:val="isselectedend"/>
        <w:jc w:val="both"/>
      </w:pPr>
      <w:r w:rsidRPr="00F267FD">
        <w:t>3.</w:t>
      </w:r>
      <w:r w:rsidRPr="00F267FD">
        <w:tab/>
      </w:r>
      <w:r w:rsidR="00875594" w:rsidRPr="00F267FD">
        <w:t>As per the latest available data from the World Integrated Trade Solution (WITS), Mozambique’s five major merchandise export destinations are India, China, South Africa, the Republic of Korea, and the United Kingdom. Conversely, Mozambique’s five principal import partners are South Africa, China, the United Arab Emirates, India, and Singapore. Mozambique’s five leading export commodities are: (</w:t>
      </w:r>
      <w:proofErr w:type="spellStart"/>
      <w:r w:rsidR="00875594" w:rsidRPr="00F267FD">
        <w:t>i</w:t>
      </w:r>
      <w:proofErr w:type="spellEnd"/>
      <w:r w:rsidR="00875594" w:rsidRPr="00F267FD">
        <w:t xml:space="preserve">) Other coal, not agglomerated, </w:t>
      </w:r>
      <w:proofErr w:type="spellStart"/>
      <w:r w:rsidR="00875594" w:rsidRPr="00F267FD">
        <w:t>n.e.s.</w:t>
      </w:r>
      <w:proofErr w:type="spellEnd"/>
      <w:r w:rsidR="00875594" w:rsidRPr="00F267FD">
        <w:t xml:space="preserve"> </w:t>
      </w:r>
      <w:r w:rsidR="00875594" w:rsidRPr="00F267FD">
        <w:rPr>
          <w:rStyle w:val="text-token-text-primary"/>
        </w:rPr>
        <w:t>[270119]</w:t>
      </w:r>
      <w:r w:rsidR="00875594" w:rsidRPr="00F267FD">
        <w:t xml:space="preserve">; (ii) Liquefied natural gas </w:t>
      </w:r>
      <w:r w:rsidR="00875594" w:rsidRPr="00F267FD">
        <w:rPr>
          <w:rStyle w:val="text-token-text-primary"/>
        </w:rPr>
        <w:t>[271111]</w:t>
      </w:r>
      <w:r w:rsidR="00875594" w:rsidRPr="00F267FD">
        <w:t xml:space="preserve">; (iii) Unwrought aluminium, not alloyed </w:t>
      </w:r>
      <w:r w:rsidR="00875594" w:rsidRPr="00F267FD">
        <w:rPr>
          <w:rStyle w:val="text-token-text-primary"/>
        </w:rPr>
        <w:t>[760110]</w:t>
      </w:r>
      <w:r w:rsidR="00875594" w:rsidRPr="00F267FD">
        <w:t xml:space="preserve">; (iv) Electrical energy </w:t>
      </w:r>
      <w:r w:rsidR="00875594" w:rsidRPr="00F267FD">
        <w:rPr>
          <w:rStyle w:val="text-token-text-primary"/>
        </w:rPr>
        <w:t>[271600]</w:t>
      </w:r>
      <w:r w:rsidR="00875594" w:rsidRPr="00F267FD">
        <w:t xml:space="preserve">; and (v) Coke and semi-coke of coal, lignite, or peat </w:t>
      </w:r>
      <w:r w:rsidR="00875594" w:rsidRPr="00F267FD">
        <w:rPr>
          <w:rStyle w:val="text-token-text-primary"/>
        </w:rPr>
        <w:t>[270400]</w:t>
      </w:r>
      <w:r w:rsidR="00875594" w:rsidRPr="00F267FD">
        <w:t>. On the import side, Mozambique’s five major imported commodities are: (</w:t>
      </w:r>
      <w:proofErr w:type="spellStart"/>
      <w:r w:rsidR="00875594" w:rsidRPr="00F267FD">
        <w:t>i</w:t>
      </w:r>
      <w:proofErr w:type="spellEnd"/>
      <w:r w:rsidR="00875594" w:rsidRPr="00F267FD">
        <w:t xml:space="preserve">) Petroleum oils and preparations (excluding crude) </w:t>
      </w:r>
      <w:r w:rsidR="00875594" w:rsidRPr="00F267FD">
        <w:rPr>
          <w:rStyle w:val="text-token-text-primary"/>
        </w:rPr>
        <w:t>[271000]</w:t>
      </w:r>
      <w:r w:rsidR="00875594" w:rsidRPr="00F267FD">
        <w:t xml:space="preserve">; (ii) Aluminium fluorides </w:t>
      </w:r>
      <w:r w:rsidR="00875594" w:rsidRPr="00F267FD">
        <w:rPr>
          <w:rStyle w:val="text-token-text-primary"/>
        </w:rPr>
        <w:t>[282612]</w:t>
      </w:r>
      <w:r w:rsidR="00875594" w:rsidRPr="00F267FD">
        <w:t xml:space="preserve">; (iii) Semi-milled or wholly milled rice </w:t>
      </w:r>
      <w:r w:rsidR="00875594" w:rsidRPr="00F267FD">
        <w:rPr>
          <w:rStyle w:val="text-token-text-primary"/>
        </w:rPr>
        <w:t>[100630]</w:t>
      </w:r>
      <w:r w:rsidR="00875594" w:rsidRPr="00F267FD">
        <w:t xml:space="preserve">; (iv) Spelt, common wheat, and meslin </w:t>
      </w:r>
      <w:r w:rsidR="00875594" w:rsidRPr="00F267FD">
        <w:rPr>
          <w:rStyle w:val="text-token-text-primary"/>
        </w:rPr>
        <w:t>[100190]</w:t>
      </w:r>
      <w:r w:rsidR="00875594" w:rsidRPr="00F267FD">
        <w:t xml:space="preserve">; and (v) Crude palm oil </w:t>
      </w:r>
      <w:r w:rsidR="00875594" w:rsidRPr="00F267FD">
        <w:rPr>
          <w:rStyle w:val="text-token-text-primary"/>
        </w:rPr>
        <w:t>[151110]</w:t>
      </w:r>
      <w:r w:rsidR="00875594" w:rsidRPr="00F267FD">
        <w:t>.</w:t>
      </w:r>
    </w:p>
    <w:p w14:paraId="6A741093" w14:textId="2B3A798A" w:rsidR="002E6A2D" w:rsidRPr="00BB6E4D" w:rsidRDefault="002E6A2D" w:rsidP="00BB6E4D">
      <w:pPr>
        <w:tabs>
          <w:tab w:val="left" w:pos="5387"/>
          <w:tab w:val="left" w:pos="6237"/>
        </w:tabs>
        <w:spacing w:line="240" w:lineRule="auto"/>
        <w:jc w:val="both"/>
        <w:rPr>
          <w:rFonts w:ascii="Times New Roman" w:hAnsi="Times New Roman" w:cs="Times New Roman"/>
          <w:sz w:val="24"/>
          <w:szCs w:val="24"/>
        </w:rPr>
      </w:pPr>
      <w:r w:rsidRPr="00F267FD">
        <w:rPr>
          <w:rFonts w:ascii="Times New Roman" w:hAnsi="Times New Roman" w:cs="Times New Roman"/>
          <w:bCs/>
          <w:sz w:val="24"/>
          <w:szCs w:val="24"/>
        </w:rPr>
        <w:t>4.</w:t>
      </w:r>
      <w:r w:rsidRPr="00F267FD">
        <w:rPr>
          <w:rFonts w:ascii="Times New Roman" w:hAnsi="Times New Roman" w:cs="Times New Roman"/>
          <w:b/>
          <w:bCs/>
          <w:sz w:val="24"/>
          <w:szCs w:val="24"/>
        </w:rPr>
        <w:t xml:space="preserve">      </w:t>
      </w:r>
      <w:r w:rsidR="00BB6E4D" w:rsidRPr="00BB6E4D">
        <w:rPr>
          <w:rFonts w:ascii="Times New Roman" w:hAnsi="Times New Roman" w:cs="Times New Roman"/>
          <w:sz w:val="24"/>
          <w:szCs w:val="24"/>
        </w:rPr>
        <w:t xml:space="preserve">Mozambique’s total merchandise exports to the world increased significantly from </w:t>
      </w:r>
      <w:r w:rsidR="00BB6E4D" w:rsidRPr="00BB6E4D">
        <w:rPr>
          <w:rStyle w:val="Strong"/>
          <w:rFonts w:ascii="Times New Roman" w:hAnsi="Times New Roman" w:cs="Times New Roman"/>
          <w:sz w:val="24"/>
          <w:szCs w:val="24"/>
        </w:rPr>
        <w:t>US$ 3,720 million in 2020</w:t>
      </w:r>
      <w:r w:rsidR="00BB6E4D" w:rsidRPr="00BB6E4D">
        <w:rPr>
          <w:rFonts w:ascii="Times New Roman" w:hAnsi="Times New Roman" w:cs="Times New Roman"/>
          <w:sz w:val="24"/>
          <w:szCs w:val="24"/>
        </w:rPr>
        <w:t xml:space="preserve"> to </w:t>
      </w:r>
      <w:r w:rsidR="00BB6E4D" w:rsidRPr="00BB6E4D">
        <w:rPr>
          <w:rStyle w:val="Strong"/>
          <w:rFonts w:ascii="Times New Roman" w:hAnsi="Times New Roman" w:cs="Times New Roman"/>
          <w:sz w:val="24"/>
          <w:szCs w:val="24"/>
        </w:rPr>
        <w:t>US$ 5,704 million in 2021</w:t>
      </w:r>
      <w:r w:rsidR="00BB6E4D" w:rsidRPr="00BB6E4D">
        <w:rPr>
          <w:rFonts w:ascii="Times New Roman" w:hAnsi="Times New Roman" w:cs="Times New Roman"/>
          <w:sz w:val="24"/>
          <w:szCs w:val="24"/>
        </w:rPr>
        <w:t xml:space="preserve">, registering a growth of </w:t>
      </w:r>
      <w:r w:rsidR="00BB6E4D" w:rsidRPr="00BB6E4D">
        <w:rPr>
          <w:rStyle w:val="Strong"/>
          <w:rFonts w:ascii="Times New Roman" w:hAnsi="Times New Roman" w:cs="Times New Roman"/>
          <w:sz w:val="24"/>
          <w:szCs w:val="24"/>
        </w:rPr>
        <w:t>53.33%</w:t>
      </w:r>
      <w:r w:rsidR="00BB6E4D" w:rsidRPr="00BB6E4D">
        <w:rPr>
          <w:rFonts w:ascii="Times New Roman" w:hAnsi="Times New Roman" w:cs="Times New Roman"/>
          <w:sz w:val="24"/>
          <w:szCs w:val="24"/>
        </w:rPr>
        <w:t xml:space="preserve">. Exports continued to rise to </w:t>
      </w:r>
      <w:r w:rsidR="00BB6E4D" w:rsidRPr="00BB6E4D">
        <w:rPr>
          <w:rStyle w:val="Strong"/>
          <w:rFonts w:ascii="Times New Roman" w:hAnsi="Times New Roman" w:cs="Times New Roman"/>
          <w:sz w:val="24"/>
          <w:szCs w:val="24"/>
        </w:rPr>
        <w:t>US$ 8,299 million in 2022</w:t>
      </w:r>
      <w:r w:rsidR="00BB6E4D" w:rsidRPr="00BB6E4D">
        <w:rPr>
          <w:rFonts w:ascii="Times New Roman" w:hAnsi="Times New Roman" w:cs="Times New Roman"/>
          <w:sz w:val="24"/>
          <w:szCs w:val="24"/>
        </w:rPr>
        <w:t xml:space="preserve">, recording a further growth of </w:t>
      </w:r>
      <w:r w:rsidR="00BB6E4D" w:rsidRPr="00BB6E4D">
        <w:rPr>
          <w:rStyle w:val="Strong"/>
          <w:rFonts w:ascii="Times New Roman" w:hAnsi="Times New Roman" w:cs="Times New Roman"/>
          <w:sz w:val="24"/>
          <w:szCs w:val="24"/>
        </w:rPr>
        <w:t>45.49%</w:t>
      </w:r>
      <w:r w:rsidR="00BB6E4D" w:rsidRPr="00BB6E4D">
        <w:rPr>
          <w:rFonts w:ascii="Times New Roman" w:hAnsi="Times New Roman" w:cs="Times New Roman"/>
          <w:sz w:val="24"/>
          <w:szCs w:val="24"/>
        </w:rPr>
        <w:t xml:space="preserve">. Thereafter, exports remained broadly stable, declining marginally to </w:t>
      </w:r>
      <w:r w:rsidR="00BB6E4D" w:rsidRPr="00BB6E4D">
        <w:rPr>
          <w:rStyle w:val="Strong"/>
          <w:rFonts w:ascii="Times New Roman" w:hAnsi="Times New Roman" w:cs="Times New Roman"/>
          <w:sz w:val="24"/>
          <w:szCs w:val="24"/>
        </w:rPr>
        <w:t>US$ 8,276 million in 2023</w:t>
      </w:r>
      <w:r w:rsidR="00BB6E4D" w:rsidRPr="00BB6E4D">
        <w:rPr>
          <w:rFonts w:ascii="Times New Roman" w:hAnsi="Times New Roman" w:cs="Times New Roman"/>
          <w:sz w:val="24"/>
          <w:szCs w:val="24"/>
        </w:rPr>
        <w:t xml:space="preserve"> and</w:t>
      </w:r>
      <w:r w:rsidR="00476C0B">
        <w:rPr>
          <w:rFonts w:ascii="Times New Roman" w:hAnsi="Times New Roman" w:cs="Times New Roman"/>
          <w:sz w:val="24"/>
          <w:szCs w:val="24"/>
        </w:rPr>
        <w:t xml:space="preserve"> further to</w:t>
      </w:r>
      <w:r w:rsidR="00BB6E4D" w:rsidRPr="00BB6E4D">
        <w:rPr>
          <w:rFonts w:ascii="Times New Roman" w:hAnsi="Times New Roman" w:cs="Times New Roman"/>
          <w:sz w:val="24"/>
          <w:szCs w:val="24"/>
        </w:rPr>
        <w:t xml:space="preserve"> </w:t>
      </w:r>
      <w:r w:rsidR="00BB6E4D" w:rsidRPr="00BB6E4D">
        <w:rPr>
          <w:rStyle w:val="Strong"/>
          <w:rFonts w:ascii="Times New Roman" w:hAnsi="Times New Roman" w:cs="Times New Roman"/>
          <w:sz w:val="24"/>
          <w:szCs w:val="24"/>
        </w:rPr>
        <w:t>US$ 8,211 million in 2024</w:t>
      </w:r>
      <w:r w:rsidR="00BB6E4D" w:rsidRPr="00BB6E4D">
        <w:rPr>
          <w:rFonts w:ascii="Times New Roman" w:hAnsi="Times New Roman" w:cs="Times New Roman"/>
          <w:sz w:val="24"/>
          <w:szCs w:val="24"/>
        </w:rPr>
        <w:t xml:space="preserve">, registering contractions of </w:t>
      </w:r>
      <w:r w:rsidR="00BB6E4D" w:rsidRPr="00BB6E4D">
        <w:rPr>
          <w:rStyle w:val="Strong"/>
          <w:rFonts w:ascii="Times New Roman" w:hAnsi="Times New Roman" w:cs="Times New Roman"/>
          <w:sz w:val="24"/>
          <w:szCs w:val="24"/>
        </w:rPr>
        <w:t>0.28%</w:t>
      </w:r>
      <w:r w:rsidR="00BB6E4D" w:rsidRPr="00BB6E4D">
        <w:rPr>
          <w:rFonts w:ascii="Times New Roman" w:hAnsi="Times New Roman" w:cs="Times New Roman"/>
          <w:sz w:val="24"/>
          <w:szCs w:val="24"/>
        </w:rPr>
        <w:t xml:space="preserve"> and </w:t>
      </w:r>
      <w:r w:rsidR="00BB6E4D" w:rsidRPr="00BB6E4D">
        <w:rPr>
          <w:rStyle w:val="Strong"/>
          <w:rFonts w:ascii="Times New Roman" w:hAnsi="Times New Roman" w:cs="Times New Roman"/>
          <w:sz w:val="24"/>
          <w:szCs w:val="24"/>
        </w:rPr>
        <w:t>0.79%</w:t>
      </w:r>
      <w:r w:rsidR="00BB6E4D" w:rsidRPr="00BB6E4D">
        <w:rPr>
          <w:rFonts w:ascii="Times New Roman" w:hAnsi="Times New Roman" w:cs="Times New Roman"/>
          <w:sz w:val="24"/>
          <w:szCs w:val="24"/>
        </w:rPr>
        <w:t xml:space="preserve">, respectively. Overall, Mozambique’s merchandise exports recorded a </w:t>
      </w:r>
      <w:r w:rsidR="00BB6E4D" w:rsidRPr="00BB6E4D">
        <w:rPr>
          <w:rStyle w:val="Strong"/>
          <w:rFonts w:ascii="Times New Roman" w:hAnsi="Times New Roman" w:cs="Times New Roman"/>
          <w:sz w:val="24"/>
          <w:szCs w:val="24"/>
        </w:rPr>
        <w:t>compound annual growth rate (CAGR) of 21.89%</w:t>
      </w:r>
      <w:r w:rsidR="00BB6E4D" w:rsidRPr="00BB6E4D">
        <w:rPr>
          <w:rFonts w:ascii="Times New Roman" w:hAnsi="Times New Roman" w:cs="Times New Roman"/>
          <w:sz w:val="24"/>
          <w:szCs w:val="24"/>
        </w:rPr>
        <w:t xml:space="preserve"> during the period </w:t>
      </w:r>
      <w:r w:rsidR="00BB6E4D" w:rsidRPr="00BB6E4D">
        <w:rPr>
          <w:rStyle w:val="Strong"/>
          <w:rFonts w:ascii="Times New Roman" w:hAnsi="Times New Roman" w:cs="Times New Roman"/>
          <w:sz w:val="24"/>
          <w:szCs w:val="24"/>
        </w:rPr>
        <w:t>2020–2024</w:t>
      </w:r>
      <w:r w:rsidR="00BB6E4D" w:rsidRPr="00BB6E4D">
        <w:rPr>
          <w:rFonts w:ascii="Times New Roman" w:hAnsi="Times New Roman" w:cs="Times New Roman"/>
          <w:sz w:val="24"/>
          <w:szCs w:val="24"/>
        </w:rPr>
        <w:t>.</w:t>
      </w:r>
    </w:p>
    <w:p w14:paraId="01ACD463" w14:textId="77777777" w:rsidR="00590A07" w:rsidRPr="00F267FD" w:rsidRDefault="002E6A2D" w:rsidP="00F267FD">
      <w:pPr>
        <w:pStyle w:val="BodyText"/>
        <w:tabs>
          <w:tab w:val="left" w:pos="3119"/>
        </w:tabs>
        <w:rPr>
          <w:szCs w:val="24"/>
        </w:rPr>
      </w:pPr>
      <w:r w:rsidRPr="00F267FD">
        <w:rPr>
          <w:rFonts w:eastAsia="Calibri"/>
          <w:szCs w:val="24"/>
        </w:rPr>
        <w:t xml:space="preserve"> </w:t>
      </w:r>
    </w:p>
    <w:p w14:paraId="5E5C8C8A" w14:textId="77777777" w:rsidR="002E6A2D" w:rsidRPr="00BB6E4D" w:rsidRDefault="002E6A2D" w:rsidP="00BB6E4D">
      <w:pPr>
        <w:pStyle w:val="BodyText"/>
        <w:tabs>
          <w:tab w:val="left" w:pos="3119"/>
        </w:tabs>
        <w:rPr>
          <w:szCs w:val="24"/>
        </w:rPr>
      </w:pPr>
      <w:r w:rsidRPr="00F267FD">
        <w:rPr>
          <w:bCs/>
          <w:szCs w:val="24"/>
        </w:rPr>
        <w:t xml:space="preserve">5.      </w:t>
      </w:r>
      <w:r w:rsidR="00BB6E4D" w:rsidRPr="00BB6E4D">
        <w:rPr>
          <w:szCs w:val="24"/>
        </w:rPr>
        <w:t xml:space="preserve">Mozambique’s total merchandise imports from the world increased from </w:t>
      </w:r>
      <w:r w:rsidR="00BB6E4D" w:rsidRPr="00BB6E4D">
        <w:rPr>
          <w:rStyle w:val="Strong"/>
          <w:szCs w:val="24"/>
        </w:rPr>
        <w:t>US$ 6,514 million in 2020</w:t>
      </w:r>
      <w:r w:rsidR="00BB6E4D" w:rsidRPr="00BB6E4D">
        <w:rPr>
          <w:szCs w:val="24"/>
        </w:rPr>
        <w:t xml:space="preserve"> to </w:t>
      </w:r>
      <w:r w:rsidR="00BB6E4D" w:rsidRPr="00BB6E4D">
        <w:rPr>
          <w:rStyle w:val="Strong"/>
          <w:szCs w:val="24"/>
        </w:rPr>
        <w:t>US$ 8,758 million in 2021</w:t>
      </w:r>
      <w:r w:rsidR="00BB6E4D" w:rsidRPr="00BB6E4D">
        <w:rPr>
          <w:szCs w:val="24"/>
        </w:rPr>
        <w:t xml:space="preserve">, reflecting a growth of </w:t>
      </w:r>
      <w:r w:rsidR="00BB6E4D" w:rsidRPr="00BB6E4D">
        <w:rPr>
          <w:rStyle w:val="Strong"/>
          <w:szCs w:val="24"/>
        </w:rPr>
        <w:t>34.45%</w:t>
      </w:r>
      <w:r w:rsidR="00BB6E4D" w:rsidRPr="00BB6E4D">
        <w:rPr>
          <w:szCs w:val="24"/>
        </w:rPr>
        <w:t xml:space="preserve">. Imports surged further to </w:t>
      </w:r>
      <w:r w:rsidR="00BB6E4D" w:rsidRPr="00BB6E4D">
        <w:rPr>
          <w:rStyle w:val="Strong"/>
          <w:szCs w:val="24"/>
        </w:rPr>
        <w:t>US$ 14,671 million in 2022</w:t>
      </w:r>
      <w:r w:rsidR="00BB6E4D" w:rsidRPr="00BB6E4D">
        <w:rPr>
          <w:szCs w:val="24"/>
        </w:rPr>
        <w:t xml:space="preserve">, registering a substantial growth of </w:t>
      </w:r>
      <w:r w:rsidR="00BB6E4D" w:rsidRPr="00BB6E4D">
        <w:rPr>
          <w:rStyle w:val="Strong"/>
          <w:szCs w:val="24"/>
        </w:rPr>
        <w:t>67.52%</w:t>
      </w:r>
      <w:r w:rsidR="00BB6E4D" w:rsidRPr="00BB6E4D">
        <w:rPr>
          <w:szCs w:val="24"/>
        </w:rPr>
        <w:t xml:space="preserve">. Subsequently, imports declined to </w:t>
      </w:r>
      <w:r w:rsidR="00BB6E4D" w:rsidRPr="00BB6E4D">
        <w:rPr>
          <w:rStyle w:val="Strong"/>
          <w:szCs w:val="24"/>
        </w:rPr>
        <w:t>US$ 10,092 million in 2023</w:t>
      </w:r>
      <w:r w:rsidR="00BB6E4D" w:rsidRPr="00BB6E4D">
        <w:rPr>
          <w:szCs w:val="24"/>
        </w:rPr>
        <w:t xml:space="preserve"> and further to </w:t>
      </w:r>
      <w:r w:rsidR="00BB6E4D" w:rsidRPr="00BB6E4D">
        <w:rPr>
          <w:rStyle w:val="Strong"/>
          <w:szCs w:val="24"/>
        </w:rPr>
        <w:t>US$ 9,213 million in 2024</w:t>
      </w:r>
      <w:r w:rsidR="00BB6E4D" w:rsidRPr="00BB6E4D">
        <w:rPr>
          <w:szCs w:val="24"/>
        </w:rPr>
        <w:t xml:space="preserve">, recording negative growth of </w:t>
      </w:r>
      <w:r w:rsidR="00BB6E4D" w:rsidRPr="00BB6E4D">
        <w:rPr>
          <w:rStyle w:val="Strong"/>
          <w:szCs w:val="24"/>
        </w:rPr>
        <w:t>31.21%</w:t>
      </w:r>
      <w:r w:rsidR="00BB6E4D" w:rsidRPr="00BB6E4D">
        <w:rPr>
          <w:szCs w:val="24"/>
        </w:rPr>
        <w:t xml:space="preserve"> and </w:t>
      </w:r>
      <w:r w:rsidR="00BB6E4D" w:rsidRPr="00BB6E4D">
        <w:rPr>
          <w:rStyle w:val="Strong"/>
          <w:szCs w:val="24"/>
        </w:rPr>
        <w:t>8.71%</w:t>
      </w:r>
      <w:r w:rsidR="00BB6E4D" w:rsidRPr="00BB6E4D">
        <w:rPr>
          <w:szCs w:val="24"/>
        </w:rPr>
        <w:t xml:space="preserve">, respectively. Overall, merchandise imports registered a </w:t>
      </w:r>
      <w:r w:rsidR="00BB6E4D" w:rsidRPr="00BB6E4D">
        <w:rPr>
          <w:rStyle w:val="Strong"/>
          <w:szCs w:val="24"/>
        </w:rPr>
        <w:t>compound annual growth rate (CAGR) of 9.05%</w:t>
      </w:r>
      <w:r w:rsidR="00BB6E4D" w:rsidRPr="00BB6E4D">
        <w:rPr>
          <w:szCs w:val="24"/>
        </w:rPr>
        <w:t xml:space="preserve"> during </w:t>
      </w:r>
      <w:r w:rsidR="00BB6E4D" w:rsidRPr="00BB6E4D">
        <w:rPr>
          <w:rStyle w:val="Strong"/>
          <w:szCs w:val="24"/>
        </w:rPr>
        <w:t>2020–2024</w:t>
      </w:r>
      <w:r w:rsidR="00BB6E4D" w:rsidRPr="00BB6E4D">
        <w:rPr>
          <w:szCs w:val="24"/>
        </w:rPr>
        <w:t>.</w:t>
      </w:r>
    </w:p>
    <w:p w14:paraId="1F887B47" w14:textId="77777777" w:rsidR="00590A07" w:rsidRPr="00F267FD" w:rsidRDefault="00590A07" w:rsidP="00F267FD">
      <w:pPr>
        <w:pStyle w:val="BodyText"/>
        <w:tabs>
          <w:tab w:val="left" w:pos="3119"/>
        </w:tabs>
        <w:rPr>
          <w:szCs w:val="24"/>
        </w:rPr>
      </w:pPr>
    </w:p>
    <w:p w14:paraId="51EE27E9" w14:textId="77777777" w:rsidR="00590A07" w:rsidRPr="00BB6E4D" w:rsidRDefault="00590A07" w:rsidP="00BB6E4D">
      <w:pPr>
        <w:pStyle w:val="BodyText"/>
        <w:tabs>
          <w:tab w:val="left" w:pos="3119"/>
        </w:tabs>
        <w:rPr>
          <w:szCs w:val="24"/>
        </w:rPr>
      </w:pPr>
      <w:r w:rsidRPr="00F267FD">
        <w:rPr>
          <w:szCs w:val="24"/>
        </w:rPr>
        <w:t xml:space="preserve">6.    </w:t>
      </w:r>
      <w:r w:rsidR="00BB6E4D" w:rsidRPr="00BB6E4D">
        <w:rPr>
          <w:szCs w:val="24"/>
        </w:rPr>
        <w:t xml:space="preserve">Mozambique recorded a merchandise trade deficit of </w:t>
      </w:r>
      <w:r w:rsidR="00BB6E4D" w:rsidRPr="00BB6E4D">
        <w:rPr>
          <w:rStyle w:val="Strong"/>
          <w:szCs w:val="24"/>
        </w:rPr>
        <w:t>US$ 2,794 million in 2020</w:t>
      </w:r>
      <w:r w:rsidR="00BB6E4D" w:rsidRPr="00BB6E4D">
        <w:rPr>
          <w:szCs w:val="24"/>
        </w:rPr>
        <w:t xml:space="preserve">, which widened slightly to </w:t>
      </w:r>
      <w:r w:rsidR="00BB6E4D" w:rsidRPr="00BB6E4D">
        <w:rPr>
          <w:rStyle w:val="Strong"/>
          <w:szCs w:val="24"/>
        </w:rPr>
        <w:t>US$ 3,054 million in 2021</w:t>
      </w:r>
      <w:r w:rsidR="00BB6E4D" w:rsidRPr="00BB6E4D">
        <w:rPr>
          <w:szCs w:val="24"/>
        </w:rPr>
        <w:t xml:space="preserve"> and further to </w:t>
      </w:r>
      <w:r w:rsidR="00BB6E4D" w:rsidRPr="00BB6E4D">
        <w:rPr>
          <w:rStyle w:val="Strong"/>
          <w:szCs w:val="24"/>
        </w:rPr>
        <w:t>US$ 6,372 million in 2022</w:t>
      </w:r>
      <w:r w:rsidR="00BB6E4D" w:rsidRPr="00BB6E4D">
        <w:rPr>
          <w:szCs w:val="24"/>
        </w:rPr>
        <w:t xml:space="preserve">. Thereafter, the trade deficit narrowed considerably to </w:t>
      </w:r>
      <w:r w:rsidR="00BB6E4D" w:rsidRPr="00BB6E4D">
        <w:rPr>
          <w:rStyle w:val="Strong"/>
          <w:szCs w:val="24"/>
        </w:rPr>
        <w:t>US$ 1,816 million in 2023</w:t>
      </w:r>
      <w:r w:rsidR="00BB6E4D" w:rsidRPr="00BB6E4D">
        <w:rPr>
          <w:szCs w:val="24"/>
        </w:rPr>
        <w:t xml:space="preserve"> and further to </w:t>
      </w:r>
      <w:r w:rsidR="00BB6E4D" w:rsidRPr="00BB6E4D">
        <w:rPr>
          <w:rStyle w:val="Strong"/>
          <w:szCs w:val="24"/>
        </w:rPr>
        <w:t>US$ 1,002 million in 2024</w:t>
      </w:r>
      <w:r w:rsidR="00BB6E4D" w:rsidRPr="00BB6E4D">
        <w:rPr>
          <w:szCs w:val="24"/>
        </w:rPr>
        <w:t xml:space="preserve">, indicating a marked improvement in the country’s external trade position. Meanwhile, the total merchandise trade volume increased from </w:t>
      </w:r>
      <w:r w:rsidR="00BB6E4D" w:rsidRPr="00BB6E4D">
        <w:rPr>
          <w:rStyle w:val="Strong"/>
          <w:szCs w:val="24"/>
        </w:rPr>
        <w:t>US$ 10,234 million in 2020</w:t>
      </w:r>
      <w:r w:rsidR="00BB6E4D" w:rsidRPr="00BB6E4D">
        <w:rPr>
          <w:szCs w:val="24"/>
        </w:rPr>
        <w:t xml:space="preserve"> to </w:t>
      </w:r>
      <w:r w:rsidR="00BB6E4D" w:rsidRPr="00BB6E4D">
        <w:rPr>
          <w:rStyle w:val="Strong"/>
          <w:szCs w:val="24"/>
        </w:rPr>
        <w:t>US$ 14,462 million in 2021</w:t>
      </w:r>
      <w:r w:rsidR="00BB6E4D" w:rsidRPr="00BB6E4D">
        <w:rPr>
          <w:szCs w:val="24"/>
        </w:rPr>
        <w:t xml:space="preserve"> and further to </w:t>
      </w:r>
      <w:r w:rsidR="00BB6E4D" w:rsidRPr="00BB6E4D">
        <w:rPr>
          <w:rStyle w:val="Strong"/>
          <w:szCs w:val="24"/>
        </w:rPr>
        <w:t>US$ 22,970 million in 2022</w:t>
      </w:r>
      <w:r w:rsidR="00BB6E4D" w:rsidRPr="00BB6E4D">
        <w:rPr>
          <w:szCs w:val="24"/>
        </w:rPr>
        <w:t xml:space="preserve">, before declining to </w:t>
      </w:r>
      <w:r w:rsidR="00BB6E4D" w:rsidRPr="00BB6E4D">
        <w:rPr>
          <w:rStyle w:val="Strong"/>
          <w:szCs w:val="24"/>
        </w:rPr>
        <w:t>US$ 18,368 million in 2023</w:t>
      </w:r>
      <w:r w:rsidR="00BB6E4D" w:rsidRPr="00BB6E4D">
        <w:rPr>
          <w:szCs w:val="24"/>
        </w:rPr>
        <w:t xml:space="preserve"> and </w:t>
      </w:r>
      <w:r w:rsidR="00BB6E4D" w:rsidRPr="00BB6E4D">
        <w:rPr>
          <w:rStyle w:val="Strong"/>
          <w:szCs w:val="24"/>
        </w:rPr>
        <w:t>US$ 17,424 million in 2024</w:t>
      </w:r>
      <w:r w:rsidR="00BB6E4D" w:rsidRPr="00BB6E4D">
        <w:rPr>
          <w:szCs w:val="24"/>
        </w:rPr>
        <w:t xml:space="preserve">. Overall, the total merchandise trade volume recorded a </w:t>
      </w:r>
      <w:r w:rsidR="00BB6E4D" w:rsidRPr="00BB6E4D">
        <w:rPr>
          <w:rStyle w:val="Strong"/>
          <w:szCs w:val="24"/>
        </w:rPr>
        <w:t>compound annual growth rate (CAGR) of 14.23%</w:t>
      </w:r>
      <w:r w:rsidR="00BB6E4D" w:rsidRPr="00BB6E4D">
        <w:rPr>
          <w:szCs w:val="24"/>
        </w:rPr>
        <w:t xml:space="preserve"> during </w:t>
      </w:r>
      <w:r w:rsidR="00BB6E4D" w:rsidRPr="00BB6E4D">
        <w:rPr>
          <w:rStyle w:val="Strong"/>
          <w:szCs w:val="24"/>
        </w:rPr>
        <w:t>2020–2024</w:t>
      </w:r>
      <w:r w:rsidR="00BB6E4D" w:rsidRPr="00BB6E4D">
        <w:rPr>
          <w:szCs w:val="24"/>
        </w:rPr>
        <w:t>.</w:t>
      </w:r>
    </w:p>
    <w:p w14:paraId="387DFCAC" w14:textId="77777777" w:rsidR="00590A07" w:rsidRDefault="00590A07" w:rsidP="00B86290">
      <w:pPr>
        <w:pStyle w:val="BodyText"/>
        <w:ind w:left="142"/>
        <w:rPr>
          <w:color w:val="7030A0"/>
          <w:szCs w:val="24"/>
        </w:rPr>
      </w:pPr>
    </w:p>
    <w:p w14:paraId="1470EDFE" w14:textId="77777777" w:rsidR="008E096F" w:rsidRPr="00450D59" w:rsidRDefault="008E096F" w:rsidP="00882D15">
      <w:pPr>
        <w:pStyle w:val="BodyText"/>
        <w:rPr>
          <w:b/>
          <w:bCs/>
          <w:color w:val="984806" w:themeColor="accent6" w:themeShade="80"/>
          <w:szCs w:val="24"/>
        </w:rPr>
      </w:pPr>
      <w:r w:rsidRPr="00450D59">
        <w:rPr>
          <w:b/>
          <w:bCs/>
          <w:color w:val="984806" w:themeColor="accent6" w:themeShade="80"/>
          <w:szCs w:val="24"/>
        </w:rPr>
        <w:t xml:space="preserve">A snapshot of </w:t>
      </w:r>
      <w:r w:rsidR="00E21D32">
        <w:rPr>
          <w:b/>
          <w:bCs/>
          <w:color w:val="984806" w:themeColor="accent6" w:themeShade="80"/>
          <w:szCs w:val="24"/>
        </w:rPr>
        <w:t>Mozambique</w:t>
      </w:r>
      <w:r w:rsidRPr="00450D59">
        <w:rPr>
          <w:b/>
          <w:bCs/>
          <w:color w:val="984806" w:themeColor="accent6" w:themeShade="80"/>
          <w:szCs w:val="24"/>
        </w:rPr>
        <w:t xml:space="preserve">’s overall Trade Statistics is presented in </w:t>
      </w:r>
      <w:r w:rsidR="00D83A62" w:rsidRPr="00450D59">
        <w:rPr>
          <w:b/>
          <w:bCs/>
          <w:color w:val="984806" w:themeColor="accent6" w:themeShade="80"/>
          <w:szCs w:val="24"/>
        </w:rPr>
        <w:t>Table 2 and Figure 1 below.</w:t>
      </w:r>
      <w:r w:rsidRPr="00450D59">
        <w:rPr>
          <w:b/>
          <w:bCs/>
          <w:color w:val="984806" w:themeColor="accent6" w:themeShade="80"/>
          <w:szCs w:val="24"/>
        </w:rPr>
        <w:tab/>
      </w:r>
    </w:p>
    <w:tbl>
      <w:tblPr>
        <w:tblW w:w="11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030"/>
        <w:gridCol w:w="1549"/>
        <w:gridCol w:w="1266"/>
        <w:gridCol w:w="1828"/>
        <w:gridCol w:w="1548"/>
        <w:gridCol w:w="1619"/>
        <w:gridCol w:w="1239"/>
      </w:tblGrid>
      <w:tr w:rsidR="00882D15" w:rsidRPr="007A1C11" w14:paraId="28CE67DE" w14:textId="77777777" w:rsidTr="00684D83">
        <w:trPr>
          <w:trHeight w:val="315"/>
        </w:trPr>
        <w:tc>
          <w:tcPr>
            <w:tcW w:w="11347" w:type="dxa"/>
            <w:gridSpan w:val="8"/>
            <w:noWrap/>
            <w:vAlign w:val="bottom"/>
          </w:tcPr>
          <w:p w14:paraId="212BCC14" w14:textId="77777777" w:rsidR="00882D15" w:rsidRDefault="00882D15" w:rsidP="00882D15">
            <w:pPr>
              <w:spacing w:after="0" w:line="240" w:lineRule="auto"/>
              <w:jc w:val="center"/>
              <w:rPr>
                <w:rFonts w:ascii="Times New Roman" w:eastAsia="Times New Roman" w:hAnsi="Times New Roman" w:cs="Times New Roman"/>
                <w:b/>
                <w:bCs/>
                <w:lang w:eastAsia="en-IN" w:bidi="bn-IN"/>
              </w:rPr>
            </w:pPr>
            <w:r w:rsidRPr="00845875">
              <w:rPr>
                <w:rFonts w:ascii="Times New Roman" w:eastAsia="Times New Roman" w:hAnsi="Times New Roman" w:cs="Times New Roman"/>
                <w:b/>
                <w:bCs/>
                <w:color w:val="31849B" w:themeColor="accent5" w:themeShade="BF"/>
                <w:sz w:val="24"/>
                <w:szCs w:val="24"/>
                <w:lang w:eastAsia="en-IN" w:bidi="bn-IN"/>
              </w:rPr>
              <w:t>TABLE - 2</w:t>
            </w:r>
          </w:p>
          <w:p w14:paraId="03DBF839" w14:textId="2840DABB" w:rsidR="00882D15" w:rsidRDefault="00882D15" w:rsidP="00882D15">
            <w:pPr>
              <w:spacing w:after="0" w:line="240" w:lineRule="auto"/>
              <w:jc w:val="center"/>
              <w:rPr>
                <w:rFonts w:ascii="Times New Roman" w:eastAsia="Times New Roman" w:hAnsi="Times New Roman" w:cs="Times New Roman"/>
                <w:b/>
                <w:bCs/>
                <w:sz w:val="20"/>
                <w:szCs w:val="20"/>
                <w:lang w:eastAsia="en-IN" w:bidi="bn-IN"/>
              </w:rPr>
            </w:pPr>
            <w:r w:rsidRPr="007A1C11">
              <w:rPr>
                <w:rFonts w:ascii="Times New Roman" w:eastAsia="Times New Roman" w:hAnsi="Times New Roman" w:cs="Times New Roman"/>
                <w:b/>
                <w:bCs/>
                <w:lang w:eastAsia="en-IN" w:bidi="bn-IN"/>
              </w:rPr>
              <w:t>MOZAMBIQUE'S TOTAL EXPORTS AND IMPORTS, VOLUME OF TRADE AND BALANCE OF TRADE BETWEEN  202</w:t>
            </w:r>
            <w:r>
              <w:rPr>
                <w:rFonts w:ascii="Times New Roman" w:eastAsia="Times New Roman" w:hAnsi="Times New Roman" w:cs="Times New Roman"/>
                <w:b/>
                <w:bCs/>
                <w:lang w:eastAsia="en-IN" w:bidi="bn-IN"/>
              </w:rPr>
              <w:t>0</w:t>
            </w:r>
            <w:r w:rsidRPr="007A1C11">
              <w:rPr>
                <w:rFonts w:ascii="Times New Roman" w:eastAsia="Times New Roman" w:hAnsi="Times New Roman" w:cs="Times New Roman"/>
                <w:b/>
                <w:bCs/>
                <w:lang w:eastAsia="en-IN" w:bidi="bn-IN"/>
              </w:rPr>
              <w:t xml:space="preserve"> TO 202</w:t>
            </w:r>
            <w:r>
              <w:rPr>
                <w:rFonts w:ascii="Times New Roman" w:eastAsia="Times New Roman" w:hAnsi="Times New Roman" w:cs="Times New Roman"/>
                <w:b/>
                <w:bCs/>
                <w:lang w:eastAsia="en-IN" w:bidi="bn-IN"/>
              </w:rPr>
              <w:t>4</w:t>
            </w:r>
          </w:p>
        </w:tc>
      </w:tr>
      <w:tr w:rsidR="00882D15" w:rsidRPr="007A1C11" w14:paraId="4A463ABF" w14:textId="77777777" w:rsidTr="00073587">
        <w:trPr>
          <w:trHeight w:val="315"/>
        </w:trPr>
        <w:tc>
          <w:tcPr>
            <w:tcW w:w="11347" w:type="dxa"/>
            <w:gridSpan w:val="8"/>
            <w:noWrap/>
            <w:vAlign w:val="bottom"/>
            <w:hideMark/>
          </w:tcPr>
          <w:p w14:paraId="037212C1" w14:textId="77777777" w:rsidR="00882D15" w:rsidRPr="007A1C11" w:rsidRDefault="00882D15" w:rsidP="00882D15">
            <w:pPr>
              <w:spacing w:after="0" w:line="240" w:lineRule="auto"/>
              <w:jc w:val="right"/>
              <w:rPr>
                <w:rFonts w:ascii="Times New Roman" w:eastAsia="Times New Roman" w:hAnsi="Times New Roman" w:cs="Times New Roman"/>
                <w:b/>
                <w:bCs/>
                <w:sz w:val="20"/>
                <w:szCs w:val="20"/>
                <w:lang w:eastAsia="en-IN" w:bidi="bn-IN"/>
              </w:rPr>
            </w:pPr>
            <w:r>
              <w:rPr>
                <w:rFonts w:ascii="Times New Roman" w:eastAsia="Times New Roman" w:hAnsi="Times New Roman" w:cs="Times New Roman"/>
                <w:b/>
                <w:bCs/>
                <w:sz w:val="20"/>
                <w:szCs w:val="20"/>
                <w:lang w:eastAsia="en-IN" w:bidi="bn-IN"/>
              </w:rPr>
              <w:t xml:space="preserve">                              </w:t>
            </w:r>
            <w:r w:rsidRPr="007A1C11">
              <w:rPr>
                <w:rFonts w:ascii="Times New Roman" w:eastAsia="Times New Roman" w:hAnsi="Times New Roman" w:cs="Times New Roman"/>
                <w:b/>
                <w:bCs/>
                <w:sz w:val="20"/>
                <w:szCs w:val="20"/>
                <w:lang w:eastAsia="en-IN" w:bidi="bn-IN"/>
              </w:rPr>
              <w:t>(Value in USD Million)</w:t>
            </w:r>
          </w:p>
        </w:tc>
      </w:tr>
      <w:tr w:rsidR="000E13A0" w:rsidRPr="007A1C11" w14:paraId="1B0F708E" w14:textId="77777777" w:rsidTr="00FC6F4F">
        <w:trPr>
          <w:trHeight w:val="950"/>
        </w:trPr>
        <w:tc>
          <w:tcPr>
            <w:tcW w:w="1268" w:type="dxa"/>
            <w:noWrap/>
            <w:vAlign w:val="center"/>
            <w:hideMark/>
          </w:tcPr>
          <w:p w14:paraId="034899EA" w14:textId="77777777" w:rsidR="000E13A0" w:rsidRPr="007A1C11" w:rsidRDefault="000E13A0" w:rsidP="007A1C11">
            <w:pPr>
              <w:spacing w:after="0" w:line="240" w:lineRule="auto"/>
              <w:jc w:val="center"/>
              <w:rPr>
                <w:rFonts w:ascii="Times New Roman" w:eastAsia="Times New Roman" w:hAnsi="Times New Roman" w:cs="Times New Roman"/>
                <w:b/>
                <w:bCs/>
                <w:sz w:val="24"/>
                <w:szCs w:val="24"/>
                <w:lang w:eastAsia="en-IN" w:bidi="bn-IN"/>
              </w:rPr>
            </w:pPr>
            <w:r w:rsidRPr="007A1C11">
              <w:rPr>
                <w:rFonts w:ascii="Times New Roman" w:eastAsia="Times New Roman" w:hAnsi="Times New Roman" w:cs="Times New Roman"/>
                <w:b/>
                <w:bCs/>
                <w:sz w:val="24"/>
                <w:szCs w:val="24"/>
                <w:lang w:eastAsia="en-IN" w:bidi="bn-IN"/>
              </w:rPr>
              <w:t>Year</w:t>
            </w:r>
          </w:p>
        </w:tc>
        <w:tc>
          <w:tcPr>
            <w:tcW w:w="1030" w:type="dxa"/>
            <w:noWrap/>
            <w:vAlign w:val="center"/>
            <w:hideMark/>
          </w:tcPr>
          <w:p w14:paraId="13456866" w14:textId="77777777" w:rsidR="000E13A0" w:rsidRPr="007A1C11" w:rsidRDefault="000E13A0" w:rsidP="007A1C11">
            <w:pPr>
              <w:spacing w:after="0" w:line="240" w:lineRule="auto"/>
              <w:jc w:val="center"/>
              <w:rPr>
                <w:rFonts w:ascii="Times New Roman" w:eastAsia="Times New Roman" w:hAnsi="Times New Roman" w:cs="Times New Roman"/>
                <w:b/>
                <w:bCs/>
                <w:sz w:val="24"/>
                <w:szCs w:val="24"/>
                <w:lang w:eastAsia="en-IN" w:bidi="bn-IN"/>
              </w:rPr>
            </w:pPr>
            <w:r w:rsidRPr="007A1C11">
              <w:rPr>
                <w:rFonts w:ascii="Times New Roman" w:eastAsia="Times New Roman" w:hAnsi="Times New Roman" w:cs="Times New Roman"/>
                <w:b/>
                <w:bCs/>
                <w:sz w:val="24"/>
                <w:szCs w:val="24"/>
                <w:lang w:eastAsia="en-IN" w:bidi="bn-IN"/>
              </w:rPr>
              <w:t>Exports</w:t>
            </w:r>
          </w:p>
        </w:tc>
        <w:tc>
          <w:tcPr>
            <w:tcW w:w="1549" w:type="dxa"/>
            <w:noWrap/>
            <w:vAlign w:val="center"/>
            <w:hideMark/>
          </w:tcPr>
          <w:p w14:paraId="0B5DDB21" w14:textId="77777777" w:rsidR="000E13A0" w:rsidRPr="007A1C11" w:rsidRDefault="000E13A0" w:rsidP="007A1C11">
            <w:pPr>
              <w:spacing w:after="0" w:line="240" w:lineRule="auto"/>
              <w:jc w:val="center"/>
              <w:rPr>
                <w:rFonts w:ascii="Times New Roman" w:eastAsia="Times New Roman" w:hAnsi="Times New Roman" w:cs="Times New Roman"/>
                <w:b/>
                <w:bCs/>
                <w:sz w:val="24"/>
                <w:szCs w:val="24"/>
                <w:lang w:eastAsia="en-IN" w:bidi="bn-IN"/>
              </w:rPr>
            </w:pPr>
            <w:r w:rsidRPr="007A1C11">
              <w:rPr>
                <w:rFonts w:ascii="Times New Roman" w:eastAsia="Times New Roman" w:hAnsi="Times New Roman" w:cs="Times New Roman"/>
                <w:b/>
                <w:bCs/>
                <w:sz w:val="24"/>
                <w:szCs w:val="24"/>
                <w:lang w:eastAsia="en-IN" w:bidi="bn-IN"/>
              </w:rPr>
              <w:t>Percentage</w:t>
            </w:r>
          </w:p>
          <w:p w14:paraId="2AAC4420" w14:textId="77777777" w:rsidR="000E13A0" w:rsidRPr="007A1C11" w:rsidRDefault="000E13A0" w:rsidP="007A1C11">
            <w:pPr>
              <w:spacing w:after="0" w:line="240" w:lineRule="auto"/>
              <w:jc w:val="center"/>
              <w:rPr>
                <w:rFonts w:ascii="Times New Roman" w:eastAsia="Times New Roman" w:hAnsi="Times New Roman" w:cs="Times New Roman"/>
                <w:b/>
                <w:bCs/>
                <w:sz w:val="24"/>
                <w:szCs w:val="24"/>
                <w:lang w:eastAsia="en-IN" w:bidi="bn-IN"/>
              </w:rPr>
            </w:pPr>
            <w:r w:rsidRPr="007A1C11">
              <w:rPr>
                <w:rFonts w:ascii="Times New Roman" w:eastAsia="Times New Roman" w:hAnsi="Times New Roman" w:cs="Times New Roman"/>
                <w:b/>
                <w:bCs/>
                <w:sz w:val="24"/>
                <w:szCs w:val="24"/>
                <w:lang w:eastAsia="en-IN" w:bidi="bn-IN"/>
              </w:rPr>
              <w:t>Growth in</w:t>
            </w:r>
          </w:p>
          <w:p w14:paraId="68C2C1FC" w14:textId="2DBE4FE0" w:rsidR="000E13A0" w:rsidRPr="007A1C11" w:rsidRDefault="000E13A0" w:rsidP="007A1C11">
            <w:pPr>
              <w:spacing w:after="0" w:line="240" w:lineRule="auto"/>
              <w:jc w:val="center"/>
              <w:rPr>
                <w:rFonts w:ascii="Times New Roman" w:eastAsia="Times New Roman" w:hAnsi="Times New Roman" w:cs="Times New Roman"/>
                <w:b/>
                <w:bCs/>
                <w:sz w:val="24"/>
                <w:szCs w:val="24"/>
                <w:lang w:eastAsia="en-IN" w:bidi="bn-IN"/>
              </w:rPr>
            </w:pPr>
            <w:r w:rsidRPr="007A1C11">
              <w:rPr>
                <w:rFonts w:ascii="Times New Roman" w:eastAsia="Times New Roman" w:hAnsi="Times New Roman" w:cs="Times New Roman"/>
                <w:b/>
                <w:bCs/>
                <w:sz w:val="24"/>
                <w:szCs w:val="24"/>
                <w:lang w:eastAsia="en-IN" w:bidi="bn-IN"/>
              </w:rPr>
              <w:t>Exports</w:t>
            </w:r>
          </w:p>
        </w:tc>
        <w:tc>
          <w:tcPr>
            <w:tcW w:w="1266" w:type="dxa"/>
            <w:noWrap/>
            <w:vAlign w:val="center"/>
            <w:hideMark/>
          </w:tcPr>
          <w:p w14:paraId="1298C27B" w14:textId="77777777" w:rsidR="000E13A0" w:rsidRPr="007A1C11" w:rsidRDefault="000E13A0" w:rsidP="007A1C11">
            <w:pPr>
              <w:spacing w:after="0" w:line="240" w:lineRule="auto"/>
              <w:jc w:val="center"/>
              <w:rPr>
                <w:rFonts w:ascii="Times New Roman" w:eastAsia="Times New Roman" w:hAnsi="Times New Roman" w:cs="Times New Roman"/>
                <w:b/>
                <w:bCs/>
                <w:sz w:val="24"/>
                <w:szCs w:val="24"/>
                <w:lang w:eastAsia="en-IN" w:bidi="bn-IN"/>
              </w:rPr>
            </w:pPr>
            <w:r w:rsidRPr="007A1C11">
              <w:rPr>
                <w:rFonts w:ascii="Times New Roman" w:eastAsia="Times New Roman" w:hAnsi="Times New Roman" w:cs="Times New Roman"/>
                <w:b/>
                <w:bCs/>
                <w:sz w:val="24"/>
                <w:szCs w:val="24"/>
                <w:lang w:eastAsia="en-IN" w:bidi="bn-IN"/>
              </w:rPr>
              <w:t>Imports</w:t>
            </w:r>
          </w:p>
        </w:tc>
        <w:tc>
          <w:tcPr>
            <w:tcW w:w="1828" w:type="dxa"/>
            <w:noWrap/>
            <w:vAlign w:val="center"/>
            <w:hideMark/>
          </w:tcPr>
          <w:p w14:paraId="07DFA44E" w14:textId="77777777" w:rsidR="000E13A0" w:rsidRPr="007A1C11" w:rsidRDefault="000E13A0" w:rsidP="007A1C11">
            <w:pPr>
              <w:spacing w:after="0" w:line="240" w:lineRule="auto"/>
              <w:jc w:val="center"/>
              <w:rPr>
                <w:rFonts w:ascii="Times New Roman" w:eastAsia="Times New Roman" w:hAnsi="Times New Roman" w:cs="Times New Roman"/>
                <w:b/>
                <w:bCs/>
                <w:sz w:val="24"/>
                <w:szCs w:val="24"/>
                <w:lang w:eastAsia="en-IN" w:bidi="bn-IN"/>
              </w:rPr>
            </w:pPr>
            <w:r w:rsidRPr="007A1C11">
              <w:rPr>
                <w:rFonts w:ascii="Times New Roman" w:eastAsia="Times New Roman" w:hAnsi="Times New Roman" w:cs="Times New Roman"/>
                <w:b/>
                <w:bCs/>
                <w:sz w:val="24"/>
                <w:szCs w:val="24"/>
                <w:lang w:eastAsia="en-IN" w:bidi="bn-IN"/>
              </w:rPr>
              <w:t>Percentage</w:t>
            </w:r>
          </w:p>
          <w:p w14:paraId="29AEE6A8" w14:textId="77777777" w:rsidR="000E13A0" w:rsidRPr="007A1C11" w:rsidRDefault="000E13A0" w:rsidP="007A1C11">
            <w:pPr>
              <w:spacing w:after="0" w:line="240" w:lineRule="auto"/>
              <w:jc w:val="center"/>
              <w:rPr>
                <w:rFonts w:ascii="Times New Roman" w:eastAsia="Times New Roman" w:hAnsi="Times New Roman" w:cs="Times New Roman"/>
                <w:b/>
                <w:bCs/>
                <w:sz w:val="24"/>
                <w:szCs w:val="24"/>
                <w:lang w:eastAsia="en-IN" w:bidi="bn-IN"/>
              </w:rPr>
            </w:pPr>
            <w:r w:rsidRPr="007A1C11">
              <w:rPr>
                <w:rFonts w:ascii="Times New Roman" w:eastAsia="Times New Roman" w:hAnsi="Times New Roman" w:cs="Times New Roman"/>
                <w:b/>
                <w:bCs/>
                <w:sz w:val="24"/>
                <w:szCs w:val="24"/>
                <w:lang w:eastAsia="en-IN" w:bidi="bn-IN"/>
              </w:rPr>
              <w:t>Growth in</w:t>
            </w:r>
          </w:p>
          <w:p w14:paraId="0969ABAC" w14:textId="35D375DA" w:rsidR="000E13A0" w:rsidRPr="007A1C11" w:rsidRDefault="000E13A0" w:rsidP="007A1C11">
            <w:pPr>
              <w:spacing w:after="0" w:line="240" w:lineRule="auto"/>
              <w:jc w:val="center"/>
              <w:rPr>
                <w:rFonts w:ascii="Times New Roman" w:eastAsia="Times New Roman" w:hAnsi="Times New Roman" w:cs="Times New Roman"/>
                <w:b/>
                <w:bCs/>
                <w:sz w:val="24"/>
                <w:szCs w:val="24"/>
                <w:lang w:eastAsia="en-IN" w:bidi="bn-IN"/>
              </w:rPr>
            </w:pPr>
            <w:r w:rsidRPr="007A1C11">
              <w:rPr>
                <w:rFonts w:ascii="Times New Roman" w:eastAsia="Times New Roman" w:hAnsi="Times New Roman" w:cs="Times New Roman"/>
                <w:b/>
                <w:bCs/>
                <w:sz w:val="24"/>
                <w:szCs w:val="24"/>
                <w:lang w:eastAsia="en-IN" w:bidi="bn-IN"/>
              </w:rPr>
              <w:t>Imports</w:t>
            </w:r>
          </w:p>
        </w:tc>
        <w:tc>
          <w:tcPr>
            <w:tcW w:w="1548" w:type="dxa"/>
            <w:noWrap/>
            <w:vAlign w:val="center"/>
            <w:hideMark/>
          </w:tcPr>
          <w:p w14:paraId="0C7EB9D9" w14:textId="77777777" w:rsidR="000E13A0" w:rsidRPr="007A1C11" w:rsidRDefault="000E13A0" w:rsidP="007A1C11">
            <w:pPr>
              <w:spacing w:after="0" w:line="240" w:lineRule="auto"/>
              <w:jc w:val="center"/>
              <w:rPr>
                <w:rFonts w:ascii="Times New Roman" w:eastAsia="Times New Roman" w:hAnsi="Times New Roman" w:cs="Times New Roman"/>
                <w:b/>
                <w:bCs/>
                <w:sz w:val="24"/>
                <w:szCs w:val="24"/>
                <w:lang w:eastAsia="en-IN" w:bidi="bn-IN"/>
              </w:rPr>
            </w:pPr>
            <w:r w:rsidRPr="007A1C11">
              <w:rPr>
                <w:rFonts w:ascii="Times New Roman" w:eastAsia="Times New Roman" w:hAnsi="Times New Roman" w:cs="Times New Roman"/>
                <w:b/>
                <w:bCs/>
                <w:sz w:val="24"/>
                <w:szCs w:val="24"/>
                <w:lang w:eastAsia="en-IN" w:bidi="bn-IN"/>
              </w:rPr>
              <w:t>Volume</w:t>
            </w:r>
          </w:p>
          <w:p w14:paraId="74AC7253" w14:textId="77777777" w:rsidR="000E13A0" w:rsidRPr="007A1C11" w:rsidRDefault="000E13A0" w:rsidP="007A1C11">
            <w:pPr>
              <w:spacing w:after="0" w:line="240" w:lineRule="auto"/>
              <w:jc w:val="center"/>
              <w:rPr>
                <w:rFonts w:ascii="Times New Roman" w:eastAsia="Times New Roman" w:hAnsi="Times New Roman" w:cs="Times New Roman"/>
                <w:b/>
                <w:bCs/>
                <w:sz w:val="24"/>
                <w:szCs w:val="24"/>
                <w:lang w:eastAsia="en-IN" w:bidi="bn-IN"/>
              </w:rPr>
            </w:pPr>
            <w:r w:rsidRPr="007A1C11">
              <w:rPr>
                <w:rFonts w:ascii="Times New Roman" w:eastAsia="Times New Roman" w:hAnsi="Times New Roman" w:cs="Times New Roman"/>
                <w:b/>
                <w:bCs/>
                <w:sz w:val="24"/>
                <w:szCs w:val="24"/>
                <w:lang w:eastAsia="en-IN" w:bidi="bn-IN"/>
              </w:rPr>
              <w:t>of</w:t>
            </w:r>
          </w:p>
          <w:p w14:paraId="35EBA7CC" w14:textId="16AAD8B6" w:rsidR="000E13A0" w:rsidRPr="007A1C11" w:rsidRDefault="000E13A0" w:rsidP="007A1C11">
            <w:pPr>
              <w:spacing w:after="0" w:line="240" w:lineRule="auto"/>
              <w:jc w:val="center"/>
              <w:rPr>
                <w:rFonts w:ascii="Times New Roman" w:eastAsia="Times New Roman" w:hAnsi="Times New Roman" w:cs="Times New Roman"/>
                <w:b/>
                <w:bCs/>
                <w:sz w:val="24"/>
                <w:szCs w:val="24"/>
                <w:lang w:eastAsia="en-IN" w:bidi="bn-IN"/>
              </w:rPr>
            </w:pPr>
            <w:r w:rsidRPr="007A1C11">
              <w:rPr>
                <w:rFonts w:ascii="Times New Roman" w:eastAsia="Times New Roman" w:hAnsi="Times New Roman" w:cs="Times New Roman"/>
                <w:b/>
                <w:bCs/>
                <w:sz w:val="24"/>
                <w:szCs w:val="24"/>
                <w:lang w:eastAsia="en-IN" w:bidi="bn-IN"/>
              </w:rPr>
              <w:t>Trade</w:t>
            </w:r>
          </w:p>
        </w:tc>
        <w:tc>
          <w:tcPr>
            <w:tcW w:w="1619" w:type="dxa"/>
            <w:noWrap/>
            <w:vAlign w:val="center"/>
            <w:hideMark/>
          </w:tcPr>
          <w:p w14:paraId="3E30C6A4" w14:textId="77777777" w:rsidR="000E13A0" w:rsidRPr="007A1C11" w:rsidRDefault="000E13A0" w:rsidP="007A1C11">
            <w:pPr>
              <w:spacing w:after="0" w:line="240" w:lineRule="auto"/>
              <w:jc w:val="center"/>
              <w:rPr>
                <w:rFonts w:ascii="Times New Roman" w:eastAsia="Times New Roman" w:hAnsi="Times New Roman" w:cs="Times New Roman"/>
                <w:b/>
                <w:bCs/>
                <w:sz w:val="24"/>
                <w:szCs w:val="24"/>
                <w:lang w:eastAsia="en-IN" w:bidi="bn-IN"/>
              </w:rPr>
            </w:pPr>
            <w:r w:rsidRPr="007A1C11">
              <w:rPr>
                <w:rFonts w:ascii="Times New Roman" w:eastAsia="Times New Roman" w:hAnsi="Times New Roman" w:cs="Times New Roman"/>
                <w:b/>
                <w:bCs/>
                <w:sz w:val="24"/>
                <w:szCs w:val="24"/>
                <w:lang w:eastAsia="en-IN" w:bidi="bn-IN"/>
              </w:rPr>
              <w:t>Percentage</w:t>
            </w:r>
          </w:p>
          <w:p w14:paraId="70415B57" w14:textId="77777777" w:rsidR="000E13A0" w:rsidRPr="007A1C11" w:rsidRDefault="000E13A0" w:rsidP="007A1C11">
            <w:pPr>
              <w:spacing w:after="0" w:line="240" w:lineRule="auto"/>
              <w:jc w:val="center"/>
              <w:rPr>
                <w:rFonts w:ascii="Times New Roman" w:eastAsia="Times New Roman" w:hAnsi="Times New Roman" w:cs="Times New Roman"/>
                <w:b/>
                <w:bCs/>
                <w:sz w:val="24"/>
                <w:szCs w:val="24"/>
                <w:lang w:eastAsia="en-IN" w:bidi="bn-IN"/>
              </w:rPr>
            </w:pPr>
            <w:r w:rsidRPr="007A1C11">
              <w:rPr>
                <w:rFonts w:ascii="Times New Roman" w:eastAsia="Times New Roman" w:hAnsi="Times New Roman" w:cs="Times New Roman"/>
                <w:b/>
                <w:bCs/>
                <w:sz w:val="24"/>
                <w:szCs w:val="24"/>
                <w:lang w:eastAsia="en-IN" w:bidi="bn-IN"/>
              </w:rPr>
              <w:t>Growth in</w:t>
            </w:r>
          </w:p>
          <w:p w14:paraId="2C910D6F" w14:textId="165A09AD" w:rsidR="000E13A0" w:rsidRPr="007A1C11" w:rsidRDefault="000E13A0" w:rsidP="007A1C11">
            <w:pPr>
              <w:spacing w:after="0" w:line="240" w:lineRule="auto"/>
              <w:jc w:val="center"/>
              <w:rPr>
                <w:rFonts w:ascii="Times New Roman" w:eastAsia="Times New Roman" w:hAnsi="Times New Roman" w:cs="Times New Roman"/>
                <w:b/>
                <w:bCs/>
                <w:sz w:val="24"/>
                <w:szCs w:val="24"/>
                <w:lang w:eastAsia="en-IN" w:bidi="bn-IN"/>
              </w:rPr>
            </w:pPr>
            <w:r w:rsidRPr="007A1C11">
              <w:rPr>
                <w:rFonts w:ascii="Times New Roman" w:eastAsia="Times New Roman" w:hAnsi="Times New Roman" w:cs="Times New Roman"/>
                <w:b/>
                <w:bCs/>
                <w:sz w:val="24"/>
                <w:szCs w:val="24"/>
                <w:lang w:eastAsia="en-IN" w:bidi="bn-IN"/>
              </w:rPr>
              <w:t>Vol. of Trade</w:t>
            </w:r>
          </w:p>
        </w:tc>
        <w:tc>
          <w:tcPr>
            <w:tcW w:w="1239" w:type="dxa"/>
            <w:noWrap/>
            <w:vAlign w:val="center"/>
            <w:hideMark/>
          </w:tcPr>
          <w:p w14:paraId="2ED911AB" w14:textId="77777777" w:rsidR="000E13A0" w:rsidRPr="007A1C11" w:rsidRDefault="000E13A0" w:rsidP="007A1C11">
            <w:pPr>
              <w:spacing w:after="0" w:line="240" w:lineRule="auto"/>
              <w:jc w:val="center"/>
              <w:rPr>
                <w:rFonts w:ascii="Times New Roman" w:eastAsia="Times New Roman" w:hAnsi="Times New Roman" w:cs="Times New Roman"/>
                <w:b/>
                <w:bCs/>
                <w:sz w:val="24"/>
                <w:szCs w:val="24"/>
                <w:lang w:eastAsia="en-IN" w:bidi="bn-IN"/>
              </w:rPr>
            </w:pPr>
            <w:r w:rsidRPr="007A1C11">
              <w:rPr>
                <w:rFonts w:ascii="Times New Roman" w:eastAsia="Times New Roman" w:hAnsi="Times New Roman" w:cs="Times New Roman"/>
                <w:b/>
                <w:bCs/>
                <w:sz w:val="24"/>
                <w:szCs w:val="24"/>
                <w:lang w:eastAsia="en-IN" w:bidi="bn-IN"/>
              </w:rPr>
              <w:t>Balance</w:t>
            </w:r>
          </w:p>
          <w:p w14:paraId="58878A30" w14:textId="77777777" w:rsidR="000E13A0" w:rsidRPr="007A1C11" w:rsidRDefault="000E13A0" w:rsidP="007A1C11">
            <w:pPr>
              <w:spacing w:after="0" w:line="240" w:lineRule="auto"/>
              <w:jc w:val="center"/>
              <w:rPr>
                <w:rFonts w:ascii="Times New Roman" w:eastAsia="Times New Roman" w:hAnsi="Times New Roman" w:cs="Times New Roman"/>
                <w:b/>
                <w:bCs/>
                <w:sz w:val="24"/>
                <w:szCs w:val="24"/>
                <w:lang w:eastAsia="en-IN" w:bidi="bn-IN"/>
              </w:rPr>
            </w:pPr>
            <w:r w:rsidRPr="007A1C11">
              <w:rPr>
                <w:rFonts w:ascii="Times New Roman" w:eastAsia="Times New Roman" w:hAnsi="Times New Roman" w:cs="Times New Roman"/>
                <w:b/>
                <w:bCs/>
                <w:sz w:val="24"/>
                <w:szCs w:val="24"/>
                <w:lang w:eastAsia="en-IN" w:bidi="bn-IN"/>
              </w:rPr>
              <w:t>of</w:t>
            </w:r>
          </w:p>
          <w:p w14:paraId="53BD2A5F" w14:textId="62CD2EB3" w:rsidR="000E13A0" w:rsidRPr="007A1C11" w:rsidRDefault="000E13A0" w:rsidP="007A1C11">
            <w:pPr>
              <w:spacing w:after="0" w:line="240" w:lineRule="auto"/>
              <w:jc w:val="center"/>
              <w:rPr>
                <w:rFonts w:ascii="Times New Roman" w:eastAsia="Times New Roman" w:hAnsi="Times New Roman" w:cs="Times New Roman"/>
                <w:b/>
                <w:bCs/>
                <w:sz w:val="24"/>
                <w:szCs w:val="24"/>
                <w:lang w:eastAsia="en-IN" w:bidi="bn-IN"/>
              </w:rPr>
            </w:pPr>
            <w:r w:rsidRPr="007A1C11">
              <w:rPr>
                <w:rFonts w:ascii="Times New Roman" w:eastAsia="Times New Roman" w:hAnsi="Times New Roman" w:cs="Times New Roman"/>
                <w:b/>
                <w:bCs/>
                <w:sz w:val="24"/>
                <w:szCs w:val="24"/>
                <w:lang w:eastAsia="en-IN" w:bidi="bn-IN"/>
              </w:rPr>
              <w:t>Trade</w:t>
            </w:r>
          </w:p>
        </w:tc>
      </w:tr>
      <w:tr w:rsidR="007A1C11" w:rsidRPr="007A1C11" w14:paraId="3EE468E4" w14:textId="77777777" w:rsidTr="00882D15">
        <w:trPr>
          <w:trHeight w:val="315"/>
        </w:trPr>
        <w:tc>
          <w:tcPr>
            <w:tcW w:w="1268" w:type="dxa"/>
            <w:noWrap/>
            <w:vAlign w:val="bottom"/>
            <w:hideMark/>
          </w:tcPr>
          <w:p w14:paraId="3D7DCB3F" w14:textId="77777777" w:rsidR="007A1C11" w:rsidRPr="007A1C11" w:rsidRDefault="007A1C11" w:rsidP="007A1C11">
            <w:pPr>
              <w:spacing w:after="0" w:line="240" w:lineRule="auto"/>
              <w:jc w:val="right"/>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2020</w:t>
            </w:r>
          </w:p>
        </w:tc>
        <w:tc>
          <w:tcPr>
            <w:tcW w:w="1030" w:type="dxa"/>
            <w:noWrap/>
            <w:vAlign w:val="bottom"/>
            <w:hideMark/>
          </w:tcPr>
          <w:p w14:paraId="1DEAFBDE" w14:textId="77777777" w:rsidR="007A1C11" w:rsidRPr="007A1C11" w:rsidRDefault="007A1C11" w:rsidP="007A1C11">
            <w:pPr>
              <w:spacing w:after="0" w:line="240" w:lineRule="auto"/>
              <w:jc w:val="right"/>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3720</w:t>
            </w:r>
          </w:p>
        </w:tc>
        <w:tc>
          <w:tcPr>
            <w:tcW w:w="1549" w:type="dxa"/>
            <w:noWrap/>
            <w:vAlign w:val="bottom"/>
            <w:hideMark/>
          </w:tcPr>
          <w:p w14:paraId="5ACD2E2B" w14:textId="77777777" w:rsidR="007A1C11" w:rsidRPr="007A1C11" w:rsidRDefault="007A1C11" w:rsidP="007A1C11">
            <w:pPr>
              <w:spacing w:after="0" w:line="240" w:lineRule="auto"/>
              <w:jc w:val="center"/>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 </w:t>
            </w:r>
          </w:p>
        </w:tc>
        <w:tc>
          <w:tcPr>
            <w:tcW w:w="1266" w:type="dxa"/>
            <w:noWrap/>
            <w:vAlign w:val="bottom"/>
            <w:hideMark/>
          </w:tcPr>
          <w:p w14:paraId="0C70FC25" w14:textId="77777777" w:rsidR="007A1C11" w:rsidRPr="007A1C11" w:rsidRDefault="007A1C11" w:rsidP="007A1C11">
            <w:pPr>
              <w:spacing w:after="0" w:line="240" w:lineRule="auto"/>
              <w:jc w:val="right"/>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6514</w:t>
            </w:r>
          </w:p>
        </w:tc>
        <w:tc>
          <w:tcPr>
            <w:tcW w:w="1828" w:type="dxa"/>
            <w:noWrap/>
            <w:vAlign w:val="bottom"/>
            <w:hideMark/>
          </w:tcPr>
          <w:p w14:paraId="6585C6B8" w14:textId="77777777" w:rsidR="007A1C11" w:rsidRPr="007A1C11" w:rsidRDefault="007A1C11" w:rsidP="007A1C11">
            <w:pPr>
              <w:spacing w:after="0" w:line="240" w:lineRule="auto"/>
              <w:jc w:val="center"/>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 </w:t>
            </w:r>
          </w:p>
        </w:tc>
        <w:tc>
          <w:tcPr>
            <w:tcW w:w="1548" w:type="dxa"/>
            <w:noWrap/>
            <w:vAlign w:val="bottom"/>
            <w:hideMark/>
          </w:tcPr>
          <w:p w14:paraId="58257249" w14:textId="77777777" w:rsidR="007A1C11" w:rsidRPr="007A1C11" w:rsidRDefault="007A1C11" w:rsidP="007A1C11">
            <w:pPr>
              <w:spacing w:after="0" w:line="240" w:lineRule="auto"/>
              <w:jc w:val="center"/>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10,234</w:t>
            </w:r>
          </w:p>
        </w:tc>
        <w:tc>
          <w:tcPr>
            <w:tcW w:w="1619" w:type="dxa"/>
            <w:noWrap/>
            <w:vAlign w:val="bottom"/>
            <w:hideMark/>
          </w:tcPr>
          <w:p w14:paraId="2F9E3482" w14:textId="77777777" w:rsidR="007A1C11" w:rsidRPr="007A1C11" w:rsidRDefault="007A1C11" w:rsidP="007A1C11">
            <w:pPr>
              <w:spacing w:after="0" w:line="240" w:lineRule="auto"/>
              <w:jc w:val="center"/>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 </w:t>
            </w:r>
          </w:p>
        </w:tc>
        <w:tc>
          <w:tcPr>
            <w:tcW w:w="1239" w:type="dxa"/>
            <w:noWrap/>
            <w:vAlign w:val="bottom"/>
            <w:hideMark/>
          </w:tcPr>
          <w:p w14:paraId="63513ED5" w14:textId="77777777" w:rsidR="007A1C11" w:rsidRPr="007A1C11" w:rsidRDefault="007A1C11" w:rsidP="007A1C11">
            <w:pPr>
              <w:spacing w:after="0" w:line="240" w:lineRule="auto"/>
              <w:jc w:val="right"/>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-2794</w:t>
            </w:r>
          </w:p>
        </w:tc>
      </w:tr>
      <w:tr w:rsidR="007A1C11" w:rsidRPr="007A1C11" w14:paraId="05A89B49" w14:textId="77777777" w:rsidTr="00882D15">
        <w:trPr>
          <w:trHeight w:val="315"/>
        </w:trPr>
        <w:tc>
          <w:tcPr>
            <w:tcW w:w="1268" w:type="dxa"/>
            <w:noWrap/>
            <w:vAlign w:val="bottom"/>
            <w:hideMark/>
          </w:tcPr>
          <w:p w14:paraId="5B98C1CD" w14:textId="77777777" w:rsidR="007A1C11" w:rsidRPr="007A1C11" w:rsidRDefault="007A1C11" w:rsidP="007A1C11">
            <w:pPr>
              <w:spacing w:after="0" w:line="240" w:lineRule="auto"/>
              <w:jc w:val="right"/>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2021</w:t>
            </w:r>
          </w:p>
        </w:tc>
        <w:tc>
          <w:tcPr>
            <w:tcW w:w="1030" w:type="dxa"/>
            <w:noWrap/>
            <w:vAlign w:val="bottom"/>
            <w:hideMark/>
          </w:tcPr>
          <w:p w14:paraId="0E4FC08C" w14:textId="77777777" w:rsidR="007A1C11" w:rsidRPr="007A1C11" w:rsidRDefault="007A1C11" w:rsidP="007A1C11">
            <w:pPr>
              <w:spacing w:after="0" w:line="240" w:lineRule="auto"/>
              <w:jc w:val="right"/>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5704</w:t>
            </w:r>
          </w:p>
        </w:tc>
        <w:tc>
          <w:tcPr>
            <w:tcW w:w="1549" w:type="dxa"/>
            <w:noWrap/>
            <w:vAlign w:val="bottom"/>
            <w:hideMark/>
          </w:tcPr>
          <w:p w14:paraId="249A83FE" w14:textId="77777777" w:rsidR="007A1C11" w:rsidRPr="007A1C11" w:rsidRDefault="007A1C11" w:rsidP="007A1C11">
            <w:pPr>
              <w:spacing w:after="0" w:line="240" w:lineRule="auto"/>
              <w:jc w:val="center"/>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53.33</w:t>
            </w:r>
          </w:p>
        </w:tc>
        <w:tc>
          <w:tcPr>
            <w:tcW w:w="1266" w:type="dxa"/>
            <w:noWrap/>
            <w:vAlign w:val="bottom"/>
            <w:hideMark/>
          </w:tcPr>
          <w:p w14:paraId="56C6658A" w14:textId="77777777" w:rsidR="007A1C11" w:rsidRPr="007A1C11" w:rsidRDefault="007A1C11" w:rsidP="007A1C11">
            <w:pPr>
              <w:spacing w:after="0" w:line="240" w:lineRule="auto"/>
              <w:jc w:val="right"/>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8758</w:t>
            </w:r>
          </w:p>
        </w:tc>
        <w:tc>
          <w:tcPr>
            <w:tcW w:w="1828" w:type="dxa"/>
            <w:noWrap/>
            <w:vAlign w:val="bottom"/>
            <w:hideMark/>
          </w:tcPr>
          <w:p w14:paraId="143236CD" w14:textId="77777777" w:rsidR="007A1C11" w:rsidRPr="007A1C11" w:rsidRDefault="007A1C11" w:rsidP="007A1C11">
            <w:pPr>
              <w:spacing w:after="0" w:line="240" w:lineRule="auto"/>
              <w:jc w:val="center"/>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34.45</w:t>
            </w:r>
          </w:p>
        </w:tc>
        <w:tc>
          <w:tcPr>
            <w:tcW w:w="1548" w:type="dxa"/>
            <w:noWrap/>
            <w:vAlign w:val="bottom"/>
            <w:hideMark/>
          </w:tcPr>
          <w:p w14:paraId="656D1DE1" w14:textId="77777777" w:rsidR="007A1C11" w:rsidRPr="007A1C11" w:rsidRDefault="007A1C11" w:rsidP="007A1C11">
            <w:pPr>
              <w:spacing w:after="0" w:line="240" w:lineRule="auto"/>
              <w:jc w:val="center"/>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14,462</w:t>
            </w:r>
          </w:p>
        </w:tc>
        <w:tc>
          <w:tcPr>
            <w:tcW w:w="1619" w:type="dxa"/>
            <w:noWrap/>
            <w:vAlign w:val="bottom"/>
            <w:hideMark/>
          </w:tcPr>
          <w:p w14:paraId="26201E8D" w14:textId="77777777" w:rsidR="007A1C11" w:rsidRPr="007A1C11" w:rsidRDefault="007A1C11" w:rsidP="007A1C11">
            <w:pPr>
              <w:spacing w:after="0" w:line="240" w:lineRule="auto"/>
              <w:jc w:val="center"/>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41.31</w:t>
            </w:r>
          </w:p>
        </w:tc>
        <w:tc>
          <w:tcPr>
            <w:tcW w:w="1239" w:type="dxa"/>
            <w:noWrap/>
            <w:vAlign w:val="bottom"/>
            <w:hideMark/>
          </w:tcPr>
          <w:p w14:paraId="3940CA95" w14:textId="77777777" w:rsidR="007A1C11" w:rsidRPr="007A1C11" w:rsidRDefault="007A1C11" w:rsidP="007A1C11">
            <w:pPr>
              <w:spacing w:after="0" w:line="240" w:lineRule="auto"/>
              <w:jc w:val="right"/>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-3054</w:t>
            </w:r>
          </w:p>
        </w:tc>
      </w:tr>
      <w:tr w:rsidR="007A1C11" w:rsidRPr="007A1C11" w14:paraId="0F357C8F" w14:textId="77777777" w:rsidTr="00882D15">
        <w:trPr>
          <w:trHeight w:val="315"/>
        </w:trPr>
        <w:tc>
          <w:tcPr>
            <w:tcW w:w="1268" w:type="dxa"/>
            <w:noWrap/>
            <w:vAlign w:val="bottom"/>
            <w:hideMark/>
          </w:tcPr>
          <w:p w14:paraId="3059FB3D" w14:textId="77777777" w:rsidR="007A1C11" w:rsidRPr="007A1C11" w:rsidRDefault="007A1C11" w:rsidP="007A1C11">
            <w:pPr>
              <w:spacing w:after="0" w:line="240" w:lineRule="auto"/>
              <w:jc w:val="right"/>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2022</w:t>
            </w:r>
          </w:p>
        </w:tc>
        <w:tc>
          <w:tcPr>
            <w:tcW w:w="1030" w:type="dxa"/>
            <w:noWrap/>
            <w:vAlign w:val="bottom"/>
            <w:hideMark/>
          </w:tcPr>
          <w:p w14:paraId="07082416" w14:textId="77777777" w:rsidR="007A1C11" w:rsidRPr="007A1C11" w:rsidRDefault="007A1C11" w:rsidP="007A1C11">
            <w:pPr>
              <w:spacing w:after="0" w:line="240" w:lineRule="auto"/>
              <w:jc w:val="right"/>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8299</w:t>
            </w:r>
          </w:p>
        </w:tc>
        <w:tc>
          <w:tcPr>
            <w:tcW w:w="1549" w:type="dxa"/>
            <w:noWrap/>
            <w:vAlign w:val="bottom"/>
            <w:hideMark/>
          </w:tcPr>
          <w:p w14:paraId="5E5D1A0F" w14:textId="77777777" w:rsidR="007A1C11" w:rsidRPr="007A1C11" w:rsidRDefault="007A1C11" w:rsidP="007A1C11">
            <w:pPr>
              <w:spacing w:after="0" w:line="240" w:lineRule="auto"/>
              <w:jc w:val="center"/>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45.49</w:t>
            </w:r>
          </w:p>
        </w:tc>
        <w:tc>
          <w:tcPr>
            <w:tcW w:w="1266" w:type="dxa"/>
            <w:noWrap/>
            <w:vAlign w:val="bottom"/>
            <w:hideMark/>
          </w:tcPr>
          <w:p w14:paraId="34BDA8E3" w14:textId="77777777" w:rsidR="007A1C11" w:rsidRPr="007A1C11" w:rsidRDefault="007A1C11" w:rsidP="007A1C11">
            <w:pPr>
              <w:spacing w:after="0" w:line="240" w:lineRule="auto"/>
              <w:jc w:val="right"/>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14671</w:t>
            </w:r>
          </w:p>
        </w:tc>
        <w:tc>
          <w:tcPr>
            <w:tcW w:w="1828" w:type="dxa"/>
            <w:noWrap/>
            <w:vAlign w:val="bottom"/>
            <w:hideMark/>
          </w:tcPr>
          <w:p w14:paraId="6B04D478" w14:textId="77777777" w:rsidR="007A1C11" w:rsidRPr="007A1C11" w:rsidRDefault="007A1C11" w:rsidP="007A1C11">
            <w:pPr>
              <w:spacing w:after="0" w:line="240" w:lineRule="auto"/>
              <w:jc w:val="center"/>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67.52</w:t>
            </w:r>
          </w:p>
        </w:tc>
        <w:tc>
          <w:tcPr>
            <w:tcW w:w="1548" w:type="dxa"/>
            <w:noWrap/>
            <w:vAlign w:val="bottom"/>
            <w:hideMark/>
          </w:tcPr>
          <w:p w14:paraId="3357EECA" w14:textId="77777777" w:rsidR="007A1C11" w:rsidRPr="007A1C11" w:rsidRDefault="007A1C11" w:rsidP="007A1C11">
            <w:pPr>
              <w:spacing w:after="0" w:line="240" w:lineRule="auto"/>
              <w:jc w:val="center"/>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22,970</w:t>
            </w:r>
          </w:p>
        </w:tc>
        <w:tc>
          <w:tcPr>
            <w:tcW w:w="1619" w:type="dxa"/>
            <w:noWrap/>
            <w:vAlign w:val="bottom"/>
            <w:hideMark/>
          </w:tcPr>
          <w:p w14:paraId="4F708423" w14:textId="77777777" w:rsidR="007A1C11" w:rsidRPr="007A1C11" w:rsidRDefault="007A1C11" w:rsidP="007A1C11">
            <w:pPr>
              <w:spacing w:after="0" w:line="240" w:lineRule="auto"/>
              <w:jc w:val="center"/>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58.83</w:t>
            </w:r>
          </w:p>
        </w:tc>
        <w:tc>
          <w:tcPr>
            <w:tcW w:w="1239" w:type="dxa"/>
            <w:noWrap/>
            <w:vAlign w:val="bottom"/>
            <w:hideMark/>
          </w:tcPr>
          <w:p w14:paraId="2A8A1ADE" w14:textId="77777777" w:rsidR="007A1C11" w:rsidRPr="007A1C11" w:rsidRDefault="007A1C11" w:rsidP="007A1C11">
            <w:pPr>
              <w:spacing w:after="0" w:line="240" w:lineRule="auto"/>
              <w:jc w:val="right"/>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-6372</w:t>
            </w:r>
          </w:p>
        </w:tc>
      </w:tr>
      <w:tr w:rsidR="007A1C11" w:rsidRPr="007A1C11" w14:paraId="74C1EC04" w14:textId="77777777" w:rsidTr="00882D15">
        <w:trPr>
          <w:trHeight w:val="315"/>
        </w:trPr>
        <w:tc>
          <w:tcPr>
            <w:tcW w:w="1268" w:type="dxa"/>
            <w:noWrap/>
            <w:vAlign w:val="bottom"/>
            <w:hideMark/>
          </w:tcPr>
          <w:p w14:paraId="11F83F7C" w14:textId="77777777" w:rsidR="007A1C11" w:rsidRPr="007A1C11" w:rsidRDefault="007A1C11" w:rsidP="007A1C11">
            <w:pPr>
              <w:spacing w:after="0" w:line="240" w:lineRule="auto"/>
              <w:jc w:val="right"/>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2023</w:t>
            </w:r>
          </w:p>
        </w:tc>
        <w:tc>
          <w:tcPr>
            <w:tcW w:w="1030" w:type="dxa"/>
            <w:noWrap/>
            <w:vAlign w:val="bottom"/>
            <w:hideMark/>
          </w:tcPr>
          <w:p w14:paraId="7BA84119" w14:textId="77777777" w:rsidR="007A1C11" w:rsidRPr="007A1C11" w:rsidRDefault="007A1C11" w:rsidP="007A1C11">
            <w:pPr>
              <w:spacing w:after="0" w:line="240" w:lineRule="auto"/>
              <w:jc w:val="right"/>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8276</w:t>
            </w:r>
          </w:p>
        </w:tc>
        <w:tc>
          <w:tcPr>
            <w:tcW w:w="1549" w:type="dxa"/>
            <w:noWrap/>
            <w:vAlign w:val="bottom"/>
            <w:hideMark/>
          </w:tcPr>
          <w:p w14:paraId="00D6601C" w14:textId="77777777" w:rsidR="007A1C11" w:rsidRPr="007A1C11" w:rsidRDefault="007A1C11" w:rsidP="007A1C11">
            <w:pPr>
              <w:spacing w:after="0" w:line="240" w:lineRule="auto"/>
              <w:jc w:val="center"/>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-0.28</w:t>
            </w:r>
          </w:p>
        </w:tc>
        <w:tc>
          <w:tcPr>
            <w:tcW w:w="1266" w:type="dxa"/>
            <w:noWrap/>
            <w:vAlign w:val="bottom"/>
            <w:hideMark/>
          </w:tcPr>
          <w:p w14:paraId="3B31C7BF" w14:textId="77777777" w:rsidR="007A1C11" w:rsidRPr="007A1C11" w:rsidRDefault="007A1C11" w:rsidP="007A1C11">
            <w:pPr>
              <w:spacing w:after="0" w:line="240" w:lineRule="auto"/>
              <w:jc w:val="right"/>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10092</w:t>
            </w:r>
          </w:p>
        </w:tc>
        <w:tc>
          <w:tcPr>
            <w:tcW w:w="1828" w:type="dxa"/>
            <w:noWrap/>
            <w:vAlign w:val="bottom"/>
            <w:hideMark/>
          </w:tcPr>
          <w:p w14:paraId="7FC8BF5A" w14:textId="77777777" w:rsidR="007A1C11" w:rsidRPr="007A1C11" w:rsidRDefault="007A1C11" w:rsidP="007A1C11">
            <w:pPr>
              <w:spacing w:after="0" w:line="240" w:lineRule="auto"/>
              <w:jc w:val="center"/>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-31.21</w:t>
            </w:r>
          </w:p>
        </w:tc>
        <w:tc>
          <w:tcPr>
            <w:tcW w:w="1548" w:type="dxa"/>
            <w:noWrap/>
            <w:vAlign w:val="bottom"/>
            <w:hideMark/>
          </w:tcPr>
          <w:p w14:paraId="5361EA9D" w14:textId="77777777" w:rsidR="007A1C11" w:rsidRPr="007A1C11" w:rsidRDefault="007A1C11" w:rsidP="007A1C11">
            <w:pPr>
              <w:spacing w:after="0" w:line="240" w:lineRule="auto"/>
              <w:jc w:val="center"/>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18,368</w:t>
            </w:r>
          </w:p>
        </w:tc>
        <w:tc>
          <w:tcPr>
            <w:tcW w:w="1619" w:type="dxa"/>
            <w:noWrap/>
            <w:vAlign w:val="bottom"/>
            <w:hideMark/>
          </w:tcPr>
          <w:p w14:paraId="6E7259E1" w14:textId="77777777" w:rsidR="007A1C11" w:rsidRPr="007A1C11" w:rsidRDefault="007A1C11" w:rsidP="007A1C11">
            <w:pPr>
              <w:spacing w:after="0" w:line="240" w:lineRule="auto"/>
              <w:jc w:val="center"/>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-20.03</w:t>
            </w:r>
          </w:p>
        </w:tc>
        <w:tc>
          <w:tcPr>
            <w:tcW w:w="1239" w:type="dxa"/>
            <w:noWrap/>
            <w:vAlign w:val="bottom"/>
            <w:hideMark/>
          </w:tcPr>
          <w:p w14:paraId="33EF0C91" w14:textId="77777777" w:rsidR="007A1C11" w:rsidRPr="007A1C11" w:rsidRDefault="007A1C11" w:rsidP="007A1C11">
            <w:pPr>
              <w:spacing w:after="0" w:line="240" w:lineRule="auto"/>
              <w:jc w:val="right"/>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-1816</w:t>
            </w:r>
          </w:p>
        </w:tc>
      </w:tr>
      <w:tr w:rsidR="007A1C11" w:rsidRPr="007A1C11" w14:paraId="112FDC37" w14:textId="77777777" w:rsidTr="00882D15">
        <w:trPr>
          <w:trHeight w:val="315"/>
        </w:trPr>
        <w:tc>
          <w:tcPr>
            <w:tcW w:w="1268" w:type="dxa"/>
            <w:noWrap/>
            <w:vAlign w:val="bottom"/>
            <w:hideMark/>
          </w:tcPr>
          <w:p w14:paraId="4E885162" w14:textId="77777777" w:rsidR="007A1C11" w:rsidRPr="007A1C11" w:rsidRDefault="007A1C11" w:rsidP="007A1C11">
            <w:pPr>
              <w:spacing w:after="0" w:line="240" w:lineRule="auto"/>
              <w:jc w:val="right"/>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2024</w:t>
            </w:r>
          </w:p>
        </w:tc>
        <w:tc>
          <w:tcPr>
            <w:tcW w:w="1030" w:type="dxa"/>
            <w:noWrap/>
            <w:vAlign w:val="bottom"/>
            <w:hideMark/>
          </w:tcPr>
          <w:p w14:paraId="5EA70739" w14:textId="77777777" w:rsidR="007A1C11" w:rsidRPr="007A1C11" w:rsidRDefault="007A1C11" w:rsidP="007A1C11">
            <w:pPr>
              <w:spacing w:after="0" w:line="240" w:lineRule="auto"/>
              <w:jc w:val="right"/>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8211</w:t>
            </w:r>
          </w:p>
        </w:tc>
        <w:tc>
          <w:tcPr>
            <w:tcW w:w="1549" w:type="dxa"/>
            <w:noWrap/>
            <w:vAlign w:val="bottom"/>
            <w:hideMark/>
          </w:tcPr>
          <w:p w14:paraId="48CD01C1" w14:textId="77777777" w:rsidR="007A1C11" w:rsidRPr="007A1C11" w:rsidRDefault="007A1C11" w:rsidP="007A1C11">
            <w:pPr>
              <w:spacing w:after="0" w:line="240" w:lineRule="auto"/>
              <w:jc w:val="center"/>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-0.79</w:t>
            </w:r>
          </w:p>
        </w:tc>
        <w:tc>
          <w:tcPr>
            <w:tcW w:w="1266" w:type="dxa"/>
            <w:noWrap/>
            <w:vAlign w:val="bottom"/>
            <w:hideMark/>
          </w:tcPr>
          <w:p w14:paraId="7BC9201A" w14:textId="77777777" w:rsidR="007A1C11" w:rsidRPr="007A1C11" w:rsidRDefault="007A1C11" w:rsidP="007A1C11">
            <w:pPr>
              <w:spacing w:after="0" w:line="240" w:lineRule="auto"/>
              <w:jc w:val="right"/>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9213</w:t>
            </w:r>
          </w:p>
        </w:tc>
        <w:tc>
          <w:tcPr>
            <w:tcW w:w="1828" w:type="dxa"/>
            <w:noWrap/>
            <w:vAlign w:val="bottom"/>
            <w:hideMark/>
          </w:tcPr>
          <w:p w14:paraId="6DE18139" w14:textId="77777777" w:rsidR="007A1C11" w:rsidRPr="007A1C11" w:rsidRDefault="007A1C11" w:rsidP="007A1C11">
            <w:pPr>
              <w:spacing w:after="0" w:line="240" w:lineRule="auto"/>
              <w:jc w:val="center"/>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-8.71</w:t>
            </w:r>
          </w:p>
        </w:tc>
        <w:tc>
          <w:tcPr>
            <w:tcW w:w="1548" w:type="dxa"/>
            <w:noWrap/>
            <w:vAlign w:val="bottom"/>
            <w:hideMark/>
          </w:tcPr>
          <w:p w14:paraId="7F276A9A" w14:textId="77777777" w:rsidR="007A1C11" w:rsidRPr="007A1C11" w:rsidRDefault="007A1C11" w:rsidP="007A1C11">
            <w:pPr>
              <w:spacing w:after="0" w:line="240" w:lineRule="auto"/>
              <w:jc w:val="center"/>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17,424</w:t>
            </w:r>
          </w:p>
        </w:tc>
        <w:tc>
          <w:tcPr>
            <w:tcW w:w="1619" w:type="dxa"/>
            <w:noWrap/>
            <w:vAlign w:val="bottom"/>
            <w:hideMark/>
          </w:tcPr>
          <w:p w14:paraId="2631A2BD" w14:textId="77777777" w:rsidR="007A1C11" w:rsidRPr="007A1C11" w:rsidRDefault="007A1C11" w:rsidP="007A1C11">
            <w:pPr>
              <w:spacing w:after="0" w:line="240" w:lineRule="auto"/>
              <w:jc w:val="center"/>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-5.14</w:t>
            </w:r>
          </w:p>
        </w:tc>
        <w:tc>
          <w:tcPr>
            <w:tcW w:w="1239" w:type="dxa"/>
            <w:noWrap/>
            <w:vAlign w:val="bottom"/>
            <w:hideMark/>
          </w:tcPr>
          <w:p w14:paraId="593CEBD3" w14:textId="77777777" w:rsidR="007A1C11" w:rsidRPr="007A1C11" w:rsidRDefault="007A1C11" w:rsidP="007A1C11">
            <w:pPr>
              <w:spacing w:after="0" w:line="240" w:lineRule="auto"/>
              <w:jc w:val="right"/>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-1002</w:t>
            </w:r>
          </w:p>
        </w:tc>
      </w:tr>
      <w:tr w:rsidR="00B36F3C" w:rsidRPr="007A1C11" w14:paraId="2F2A0D8E" w14:textId="77777777" w:rsidTr="00A64D02">
        <w:trPr>
          <w:trHeight w:val="101"/>
        </w:trPr>
        <w:tc>
          <w:tcPr>
            <w:tcW w:w="1268" w:type="dxa"/>
            <w:noWrap/>
            <w:vAlign w:val="bottom"/>
            <w:hideMark/>
          </w:tcPr>
          <w:p w14:paraId="5E2CDDD9" w14:textId="77777777" w:rsidR="00B36F3C" w:rsidRDefault="00B36F3C" w:rsidP="00B36F3C">
            <w:pPr>
              <w:spacing w:after="0" w:line="240" w:lineRule="auto"/>
              <w:jc w:val="center"/>
              <w:rPr>
                <w:rFonts w:ascii="Times New Roman" w:eastAsia="Times New Roman" w:hAnsi="Times New Roman" w:cs="Times New Roman"/>
                <w:b/>
                <w:bCs/>
                <w:lang w:eastAsia="en-IN" w:bidi="bn-IN"/>
              </w:rPr>
            </w:pPr>
            <w:r w:rsidRPr="007A1C11">
              <w:rPr>
                <w:rFonts w:ascii="Times New Roman" w:eastAsia="Times New Roman" w:hAnsi="Times New Roman" w:cs="Times New Roman"/>
                <w:b/>
                <w:bCs/>
                <w:lang w:eastAsia="en-IN" w:bidi="bn-IN"/>
              </w:rPr>
              <w:t>Compound</w:t>
            </w:r>
          </w:p>
          <w:p w14:paraId="3ED50A83" w14:textId="77777777" w:rsidR="00B36F3C" w:rsidRPr="007A1C11" w:rsidRDefault="00B36F3C" w:rsidP="00B36F3C">
            <w:pPr>
              <w:spacing w:after="0" w:line="240" w:lineRule="auto"/>
              <w:jc w:val="center"/>
              <w:rPr>
                <w:rFonts w:ascii="Times New Roman" w:eastAsia="Times New Roman" w:hAnsi="Times New Roman" w:cs="Times New Roman"/>
                <w:b/>
                <w:bCs/>
                <w:lang w:eastAsia="en-IN" w:bidi="bn-IN"/>
              </w:rPr>
            </w:pPr>
            <w:r w:rsidRPr="007A1C11">
              <w:rPr>
                <w:rFonts w:ascii="Times New Roman" w:eastAsia="Times New Roman" w:hAnsi="Times New Roman" w:cs="Times New Roman"/>
                <w:b/>
                <w:bCs/>
                <w:lang w:eastAsia="en-IN" w:bidi="bn-IN"/>
              </w:rPr>
              <w:t>Annual</w:t>
            </w:r>
          </w:p>
          <w:p w14:paraId="10803F1B" w14:textId="7A47A87E" w:rsidR="00B36F3C" w:rsidRPr="007A1C11" w:rsidRDefault="00B36F3C" w:rsidP="00B36F3C">
            <w:pPr>
              <w:spacing w:after="0" w:line="240" w:lineRule="auto"/>
              <w:jc w:val="center"/>
              <w:rPr>
                <w:rFonts w:ascii="Times New Roman" w:eastAsia="Times New Roman" w:hAnsi="Times New Roman" w:cs="Times New Roman"/>
                <w:b/>
                <w:bCs/>
                <w:lang w:eastAsia="en-IN" w:bidi="bn-IN"/>
              </w:rPr>
            </w:pPr>
            <w:r w:rsidRPr="007A1C11">
              <w:rPr>
                <w:rFonts w:ascii="Times New Roman" w:eastAsia="Times New Roman" w:hAnsi="Times New Roman" w:cs="Times New Roman"/>
                <w:b/>
                <w:bCs/>
                <w:lang w:eastAsia="en-IN" w:bidi="bn-IN"/>
              </w:rPr>
              <w:t>Growth Rate</w:t>
            </w:r>
          </w:p>
        </w:tc>
        <w:tc>
          <w:tcPr>
            <w:tcW w:w="2579" w:type="dxa"/>
            <w:gridSpan w:val="2"/>
            <w:noWrap/>
            <w:vAlign w:val="bottom"/>
            <w:hideMark/>
          </w:tcPr>
          <w:p w14:paraId="626F0C30" w14:textId="77777777" w:rsidR="00B36F3C" w:rsidRPr="007A1C11" w:rsidRDefault="00B36F3C" w:rsidP="007A1C11">
            <w:pPr>
              <w:spacing w:after="0" w:line="240" w:lineRule="auto"/>
              <w:jc w:val="center"/>
              <w:rPr>
                <w:rFonts w:ascii="Times New Roman" w:eastAsia="Times New Roman" w:hAnsi="Times New Roman" w:cs="Times New Roman"/>
                <w:b/>
                <w:bCs/>
                <w:sz w:val="24"/>
                <w:szCs w:val="24"/>
                <w:lang w:eastAsia="en-IN" w:bidi="bn-IN"/>
              </w:rPr>
            </w:pPr>
            <w:r w:rsidRPr="007A1C11">
              <w:rPr>
                <w:rFonts w:ascii="Times New Roman" w:eastAsia="Times New Roman" w:hAnsi="Times New Roman" w:cs="Times New Roman"/>
                <w:b/>
                <w:bCs/>
                <w:sz w:val="24"/>
                <w:szCs w:val="24"/>
                <w:lang w:eastAsia="en-IN" w:bidi="bn-IN"/>
              </w:rPr>
              <w:t> </w:t>
            </w:r>
          </w:p>
          <w:p w14:paraId="12D803E2" w14:textId="7A6DD41B" w:rsidR="00B36F3C" w:rsidRPr="007A1C11" w:rsidRDefault="00B36F3C" w:rsidP="007A1C11">
            <w:pPr>
              <w:spacing w:after="0" w:line="240" w:lineRule="auto"/>
              <w:jc w:val="center"/>
              <w:rPr>
                <w:rFonts w:ascii="Times New Roman" w:eastAsia="Times New Roman" w:hAnsi="Times New Roman" w:cs="Times New Roman"/>
                <w:b/>
                <w:bCs/>
                <w:sz w:val="24"/>
                <w:szCs w:val="24"/>
                <w:lang w:eastAsia="en-IN" w:bidi="bn-IN"/>
              </w:rPr>
            </w:pPr>
            <w:r w:rsidRPr="007A1C11">
              <w:rPr>
                <w:rFonts w:ascii="Times New Roman" w:eastAsia="Times New Roman" w:hAnsi="Times New Roman" w:cs="Times New Roman"/>
                <w:b/>
                <w:bCs/>
                <w:sz w:val="24"/>
                <w:szCs w:val="24"/>
                <w:lang w:eastAsia="en-IN" w:bidi="bn-IN"/>
              </w:rPr>
              <w:t>21.89</w:t>
            </w:r>
          </w:p>
        </w:tc>
        <w:tc>
          <w:tcPr>
            <w:tcW w:w="1266" w:type="dxa"/>
            <w:noWrap/>
            <w:vAlign w:val="bottom"/>
            <w:hideMark/>
          </w:tcPr>
          <w:p w14:paraId="0419A0A4" w14:textId="77777777" w:rsidR="00B36F3C" w:rsidRPr="007A1C11" w:rsidRDefault="00B36F3C" w:rsidP="007A1C11">
            <w:pPr>
              <w:spacing w:after="0" w:line="240" w:lineRule="auto"/>
              <w:jc w:val="center"/>
              <w:rPr>
                <w:rFonts w:ascii="Times New Roman" w:eastAsia="Times New Roman" w:hAnsi="Times New Roman" w:cs="Times New Roman"/>
                <w:b/>
                <w:bCs/>
                <w:sz w:val="24"/>
                <w:szCs w:val="24"/>
                <w:lang w:eastAsia="en-IN" w:bidi="bn-IN"/>
              </w:rPr>
            </w:pPr>
            <w:r w:rsidRPr="007A1C11">
              <w:rPr>
                <w:rFonts w:ascii="Times New Roman" w:eastAsia="Times New Roman" w:hAnsi="Times New Roman" w:cs="Times New Roman"/>
                <w:b/>
                <w:bCs/>
                <w:sz w:val="24"/>
                <w:szCs w:val="24"/>
                <w:lang w:eastAsia="en-IN" w:bidi="bn-IN"/>
              </w:rPr>
              <w:t> </w:t>
            </w:r>
          </w:p>
        </w:tc>
        <w:tc>
          <w:tcPr>
            <w:tcW w:w="1828" w:type="dxa"/>
            <w:noWrap/>
            <w:vAlign w:val="bottom"/>
            <w:hideMark/>
          </w:tcPr>
          <w:p w14:paraId="66345525" w14:textId="77777777" w:rsidR="00B36F3C" w:rsidRPr="007A1C11" w:rsidRDefault="00B36F3C" w:rsidP="007A1C11">
            <w:pPr>
              <w:spacing w:after="0" w:line="240" w:lineRule="auto"/>
              <w:jc w:val="center"/>
              <w:rPr>
                <w:rFonts w:ascii="Times New Roman" w:eastAsia="Times New Roman" w:hAnsi="Times New Roman" w:cs="Times New Roman"/>
                <w:b/>
                <w:bCs/>
                <w:sz w:val="24"/>
                <w:szCs w:val="24"/>
                <w:lang w:eastAsia="en-IN" w:bidi="bn-IN"/>
              </w:rPr>
            </w:pPr>
            <w:r w:rsidRPr="007A1C11">
              <w:rPr>
                <w:rFonts w:ascii="Times New Roman" w:eastAsia="Times New Roman" w:hAnsi="Times New Roman" w:cs="Times New Roman"/>
                <w:b/>
                <w:bCs/>
                <w:sz w:val="24"/>
                <w:szCs w:val="24"/>
                <w:lang w:eastAsia="en-IN" w:bidi="bn-IN"/>
              </w:rPr>
              <w:t>9.05</w:t>
            </w:r>
          </w:p>
        </w:tc>
        <w:tc>
          <w:tcPr>
            <w:tcW w:w="1548" w:type="dxa"/>
            <w:noWrap/>
            <w:vAlign w:val="bottom"/>
            <w:hideMark/>
          </w:tcPr>
          <w:p w14:paraId="00B354AC" w14:textId="77777777" w:rsidR="00B36F3C" w:rsidRPr="007A1C11" w:rsidRDefault="00B36F3C" w:rsidP="007A1C11">
            <w:pPr>
              <w:spacing w:after="0" w:line="240" w:lineRule="auto"/>
              <w:jc w:val="center"/>
              <w:rPr>
                <w:rFonts w:ascii="Times New Roman" w:eastAsia="Times New Roman" w:hAnsi="Times New Roman" w:cs="Times New Roman"/>
                <w:b/>
                <w:bCs/>
                <w:sz w:val="24"/>
                <w:szCs w:val="24"/>
                <w:lang w:eastAsia="en-IN" w:bidi="bn-IN"/>
              </w:rPr>
            </w:pPr>
            <w:r w:rsidRPr="007A1C11">
              <w:rPr>
                <w:rFonts w:ascii="Times New Roman" w:eastAsia="Times New Roman" w:hAnsi="Times New Roman" w:cs="Times New Roman"/>
                <w:b/>
                <w:bCs/>
                <w:sz w:val="24"/>
                <w:szCs w:val="24"/>
                <w:lang w:eastAsia="en-IN" w:bidi="bn-IN"/>
              </w:rPr>
              <w:t> </w:t>
            </w:r>
          </w:p>
        </w:tc>
        <w:tc>
          <w:tcPr>
            <w:tcW w:w="1619" w:type="dxa"/>
            <w:noWrap/>
            <w:vAlign w:val="bottom"/>
            <w:hideMark/>
          </w:tcPr>
          <w:p w14:paraId="7AC3F0FF" w14:textId="77777777" w:rsidR="00B36F3C" w:rsidRPr="007A1C11" w:rsidRDefault="00B36F3C" w:rsidP="007A1C11">
            <w:pPr>
              <w:spacing w:after="0" w:line="240" w:lineRule="auto"/>
              <w:jc w:val="center"/>
              <w:rPr>
                <w:rFonts w:ascii="Times New Roman" w:eastAsia="Times New Roman" w:hAnsi="Times New Roman" w:cs="Times New Roman"/>
                <w:b/>
                <w:bCs/>
                <w:sz w:val="24"/>
                <w:szCs w:val="24"/>
                <w:lang w:eastAsia="en-IN" w:bidi="bn-IN"/>
              </w:rPr>
            </w:pPr>
            <w:r w:rsidRPr="007A1C11">
              <w:rPr>
                <w:rFonts w:ascii="Times New Roman" w:eastAsia="Times New Roman" w:hAnsi="Times New Roman" w:cs="Times New Roman"/>
                <w:b/>
                <w:bCs/>
                <w:sz w:val="24"/>
                <w:szCs w:val="24"/>
                <w:lang w:eastAsia="en-IN" w:bidi="bn-IN"/>
              </w:rPr>
              <w:t>14.23</w:t>
            </w:r>
          </w:p>
        </w:tc>
        <w:tc>
          <w:tcPr>
            <w:tcW w:w="1239" w:type="dxa"/>
            <w:noWrap/>
            <w:vAlign w:val="bottom"/>
            <w:hideMark/>
          </w:tcPr>
          <w:p w14:paraId="4A014E6A" w14:textId="77777777" w:rsidR="00B36F3C" w:rsidRPr="007A1C11" w:rsidRDefault="00B36F3C" w:rsidP="007A1C11">
            <w:pPr>
              <w:spacing w:after="0" w:line="240" w:lineRule="auto"/>
              <w:rPr>
                <w:rFonts w:ascii="Times New Roman" w:eastAsia="Times New Roman" w:hAnsi="Times New Roman" w:cs="Times New Roman"/>
                <w:sz w:val="24"/>
                <w:szCs w:val="24"/>
                <w:lang w:eastAsia="en-IN" w:bidi="bn-IN"/>
              </w:rPr>
            </w:pPr>
            <w:r w:rsidRPr="007A1C11">
              <w:rPr>
                <w:rFonts w:ascii="Times New Roman" w:eastAsia="Times New Roman" w:hAnsi="Times New Roman" w:cs="Times New Roman"/>
                <w:sz w:val="24"/>
                <w:szCs w:val="24"/>
                <w:lang w:eastAsia="en-IN" w:bidi="bn-IN"/>
              </w:rPr>
              <w:t> </w:t>
            </w:r>
          </w:p>
        </w:tc>
      </w:tr>
    </w:tbl>
    <w:p w14:paraId="1F058B35" w14:textId="1B6BC372" w:rsidR="00D83A62" w:rsidRDefault="00B36F3C" w:rsidP="00206F6B">
      <w:pPr>
        <w:pStyle w:val="BodyText"/>
        <w:rPr>
          <w:b/>
          <w:bCs/>
          <w:sz w:val="20"/>
          <w:lang w:eastAsia="en-IN" w:bidi="bn-IN"/>
        </w:rPr>
      </w:pPr>
      <w:r w:rsidRPr="007A1C11">
        <w:rPr>
          <w:b/>
          <w:bCs/>
          <w:sz w:val="20"/>
          <w:lang w:eastAsia="en-IN" w:bidi="bn-IN"/>
        </w:rPr>
        <w:t>NOTE:        Figures relate to calendar year (January to December)</w:t>
      </w:r>
    </w:p>
    <w:p w14:paraId="43ADA144" w14:textId="5DE336B2" w:rsidR="00B36F3C" w:rsidRPr="007A1C11" w:rsidRDefault="00B36F3C" w:rsidP="00B36F3C">
      <w:pPr>
        <w:spacing w:after="0" w:line="240" w:lineRule="auto"/>
        <w:jc w:val="both"/>
        <w:rPr>
          <w:rFonts w:ascii="Times New Roman" w:eastAsia="Times New Roman" w:hAnsi="Times New Roman" w:cs="Times New Roman"/>
          <w:b/>
          <w:bCs/>
          <w:sz w:val="20"/>
          <w:szCs w:val="20"/>
          <w:lang w:eastAsia="en-IN" w:bidi="bn-IN"/>
        </w:rPr>
      </w:pPr>
      <w:r w:rsidRPr="007A1C11">
        <w:rPr>
          <w:rFonts w:ascii="Times New Roman" w:eastAsia="Times New Roman" w:hAnsi="Times New Roman" w:cs="Times New Roman"/>
          <w:b/>
          <w:bCs/>
          <w:sz w:val="20"/>
          <w:szCs w:val="20"/>
          <w:lang w:eastAsia="en-IN" w:bidi="bn-IN"/>
        </w:rPr>
        <w:t>SOURCE:   UN COMTRADE PUBLICATION</w:t>
      </w:r>
    </w:p>
    <w:p w14:paraId="330A7049" w14:textId="77777777" w:rsidR="00B36F3C" w:rsidRDefault="00B36F3C" w:rsidP="00206F6B">
      <w:pPr>
        <w:pStyle w:val="BodyText"/>
        <w:rPr>
          <w:b/>
          <w:color w:val="00B050"/>
          <w:szCs w:val="24"/>
        </w:rPr>
      </w:pPr>
    </w:p>
    <w:p w14:paraId="11FBDCCF" w14:textId="77777777" w:rsidR="00D83A62" w:rsidRPr="00845875" w:rsidRDefault="009F61D8" w:rsidP="009F61D8">
      <w:pPr>
        <w:pStyle w:val="BodyText"/>
        <w:ind w:left="142"/>
        <w:jc w:val="center"/>
        <w:rPr>
          <w:b/>
          <w:color w:val="31849B" w:themeColor="accent5" w:themeShade="BF"/>
          <w:szCs w:val="24"/>
        </w:rPr>
      </w:pPr>
      <w:r w:rsidRPr="00845875">
        <w:rPr>
          <w:b/>
          <w:color w:val="31849B" w:themeColor="accent5" w:themeShade="BF"/>
          <w:szCs w:val="24"/>
        </w:rPr>
        <w:lastRenderedPageBreak/>
        <w:t>FIGURE - 1</w:t>
      </w:r>
    </w:p>
    <w:p w14:paraId="0652AD85" w14:textId="77777777" w:rsidR="00D83A62" w:rsidRDefault="000760C8" w:rsidP="000760C8">
      <w:pPr>
        <w:pStyle w:val="BodyText"/>
        <w:ind w:left="142"/>
        <w:jc w:val="center"/>
        <w:rPr>
          <w:b/>
          <w:color w:val="00B050"/>
          <w:szCs w:val="24"/>
        </w:rPr>
      </w:pPr>
      <w:r w:rsidRPr="000760C8">
        <w:rPr>
          <w:b/>
          <w:noProof/>
          <w:color w:val="00B050"/>
          <w:szCs w:val="24"/>
          <w:lang w:val="en-IN" w:eastAsia="en-IN" w:bidi="bn-IN"/>
        </w:rPr>
        <w:drawing>
          <wp:inline distT="0" distB="0" distL="0" distR="0" wp14:anchorId="3BDFF9DA" wp14:editId="1A8103C7">
            <wp:extent cx="6562725" cy="2609850"/>
            <wp:effectExtent l="1905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D78343" w14:textId="77777777" w:rsidR="0069358F" w:rsidRDefault="0069358F" w:rsidP="005707B1">
      <w:pPr>
        <w:pStyle w:val="BodyText"/>
        <w:ind w:firstLine="142"/>
        <w:rPr>
          <w:b/>
          <w:color w:val="00B050"/>
          <w:szCs w:val="24"/>
        </w:rPr>
      </w:pPr>
    </w:p>
    <w:p w14:paraId="62D360CD" w14:textId="77777777" w:rsidR="00E95C35" w:rsidRDefault="00E95C35" w:rsidP="005707B1">
      <w:pPr>
        <w:pStyle w:val="BodyText"/>
        <w:ind w:firstLine="142"/>
        <w:rPr>
          <w:b/>
          <w:color w:val="00B050"/>
          <w:szCs w:val="24"/>
        </w:rPr>
      </w:pPr>
    </w:p>
    <w:p w14:paraId="623592E7" w14:textId="77777777" w:rsidR="004C7732" w:rsidRPr="003871B3" w:rsidRDefault="004C7732" w:rsidP="005707B1">
      <w:pPr>
        <w:pStyle w:val="BodyText"/>
        <w:ind w:firstLine="142"/>
        <w:rPr>
          <w:b/>
          <w:color w:val="00B050"/>
          <w:szCs w:val="24"/>
        </w:rPr>
      </w:pPr>
      <w:r w:rsidRPr="003871B3">
        <w:rPr>
          <w:b/>
          <w:color w:val="00B050"/>
          <w:szCs w:val="24"/>
        </w:rPr>
        <w:t>BILATERAL TRADE WITH INDIA</w:t>
      </w:r>
    </w:p>
    <w:p w14:paraId="22864C20" w14:textId="77777777" w:rsidR="0069358F" w:rsidRDefault="0069358F" w:rsidP="00550AE3">
      <w:pPr>
        <w:pStyle w:val="BodyText"/>
        <w:ind w:left="142"/>
        <w:rPr>
          <w:b/>
          <w:color w:val="943634" w:themeColor="accent2" w:themeShade="BF"/>
          <w:szCs w:val="24"/>
          <w:u w:val="single"/>
        </w:rPr>
      </w:pPr>
    </w:p>
    <w:p w14:paraId="15233F5E" w14:textId="77777777" w:rsidR="008E096F" w:rsidRPr="00C8476C" w:rsidRDefault="008E096F" w:rsidP="00550AE3">
      <w:pPr>
        <w:pStyle w:val="BodyText"/>
        <w:ind w:left="142"/>
        <w:rPr>
          <w:b/>
          <w:color w:val="943634" w:themeColor="accent2" w:themeShade="BF"/>
          <w:szCs w:val="24"/>
          <w:u w:val="single"/>
        </w:rPr>
      </w:pPr>
      <w:r w:rsidRPr="00C8476C">
        <w:rPr>
          <w:b/>
          <w:color w:val="943634" w:themeColor="accent2" w:themeShade="BF"/>
          <w:szCs w:val="24"/>
          <w:u w:val="single"/>
        </w:rPr>
        <w:t>Merchandise Trade</w:t>
      </w:r>
    </w:p>
    <w:p w14:paraId="10ED395F" w14:textId="17621CBF" w:rsidR="002E6A2D" w:rsidRPr="0026453E" w:rsidRDefault="002E6A2D" w:rsidP="00F267FD">
      <w:pPr>
        <w:pStyle w:val="NormalWeb"/>
        <w:jc w:val="both"/>
      </w:pPr>
      <w:r w:rsidRPr="0026453E">
        <w:t>7.</w:t>
      </w:r>
      <w:r w:rsidRPr="0026453E">
        <w:tab/>
      </w:r>
      <w:r w:rsidR="00782667">
        <w:t xml:space="preserve">As per Department of Commerce, Ministry of Commerce and Industry, Govt. of India data sources, </w:t>
      </w:r>
      <w:r w:rsidR="00E81EED" w:rsidRPr="00BB6E4D">
        <w:t>Mozambique</w:t>
      </w:r>
      <w:r w:rsidR="00782667">
        <w:t xml:space="preserve"> accounted for 0.3</w:t>
      </w:r>
      <w:r w:rsidR="008C75F1">
        <w:t>0</w:t>
      </w:r>
      <w:r w:rsidR="00782667">
        <w:t>% share of India’s total exports; 0.2</w:t>
      </w:r>
      <w:r w:rsidR="008C75F1">
        <w:t>9</w:t>
      </w:r>
      <w:r w:rsidR="00782667">
        <w:t>% share of India’s total imports and 0.</w:t>
      </w:r>
      <w:r w:rsidR="008C75F1">
        <w:t>30</w:t>
      </w:r>
      <w:r w:rsidR="00782667">
        <w:t xml:space="preserve">% of India’s total trade in FY 2024-25. </w:t>
      </w:r>
      <w:r w:rsidR="00F267FD" w:rsidRPr="00F267FD">
        <w:t xml:space="preserve">During FY 2024–25, bilateral merchandise trade between India and Mozambique amounted to </w:t>
      </w:r>
      <w:r w:rsidR="00F267FD" w:rsidRPr="00F267FD">
        <w:rPr>
          <w:rStyle w:val="Strong"/>
        </w:rPr>
        <w:t>US$ 3,420.63 million</w:t>
      </w:r>
      <w:r w:rsidR="00F267FD" w:rsidRPr="00F267FD">
        <w:t xml:space="preserve">, comprising </w:t>
      </w:r>
      <w:r w:rsidR="00F267FD" w:rsidRPr="00F267FD">
        <w:rPr>
          <w:rStyle w:val="Strong"/>
        </w:rPr>
        <w:t>India's exports to Mozambique of US$ 1,323.39 million</w:t>
      </w:r>
      <w:r w:rsidR="00F267FD" w:rsidRPr="00F267FD">
        <w:t xml:space="preserve"> and </w:t>
      </w:r>
      <w:r w:rsidR="00F267FD" w:rsidRPr="00F267FD">
        <w:rPr>
          <w:rStyle w:val="Strong"/>
        </w:rPr>
        <w:t>imports from Mozambique of US$ 2,097.24 million</w:t>
      </w:r>
      <w:r w:rsidR="00F267FD" w:rsidRPr="00F267FD">
        <w:t xml:space="preserve">. Compared to FY 2023–24, India's exports to Mozambique </w:t>
      </w:r>
      <w:r w:rsidR="00F267FD" w:rsidRPr="00F267FD">
        <w:rPr>
          <w:rStyle w:val="Strong"/>
        </w:rPr>
        <w:t>declined by 33.70%</w:t>
      </w:r>
      <w:r w:rsidR="00F267FD" w:rsidRPr="00F267FD">
        <w:t xml:space="preserve">, while imports from Mozambique </w:t>
      </w:r>
      <w:r w:rsidR="00F267FD" w:rsidRPr="00F267FD">
        <w:rPr>
          <w:rStyle w:val="Strong"/>
        </w:rPr>
        <w:t>decreased by 13.31%</w:t>
      </w:r>
      <w:r w:rsidR="00F267FD" w:rsidRPr="00F267FD">
        <w:t xml:space="preserve">. Consequently, the total bilateral merchandise trade </w:t>
      </w:r>
      <w:r w:rsidR="00F267FD" w:rsidRPr="00F267FD">
        <w:rPr>
          <w:rStyle w:val="Strong"/>
        </w:rPr>
        <w:t>contracted by 22.52%</w:t>
      </w:r>
      <w:r w:rsidR="00F267FD" w:rsidRPr="00F267FD">
        <w:t xml:space="preserve"> over the previous financial year. India recorded a </w:t>
      </w:r>
      <w:r w:rsidR="00F267FD" w:rsidRPr="00F267FD">
        <w:rPr>
          <w:rStyle w:val="Strong"/>
        </w:rPr>
        <w:t>trade deficit of US$ 773.85 million</w:t>
      </w:r>
      <w:r w:rsidR="00F267FD" w:rsidRPr="00F267FD">
        <w:t xml:space="preserve"> with Mozambique during FY 2024–25.</w:t>
      </w:r>
    </w:p>
    <w:p w14:paraId="77BEB53E" w14:textId="77777777" w:rsidR="002E6A2D" w:rsidRPr="0026453E" w:rsidRDefault="002E6A2D" w:rsidP="00F267FD">
      <w:pPr>
        <w:spacing w:line="240" w:lineRule="auto"/>
        <w:jc w:val="both"/>
        <w:rPr>
          <w:rFonts w:ascii="Times New Roman" w:hAnsi="Times New Roman" w:cs="Times New Roman"/>
          <w:sz w:val="24"/>
          <w:szCs w:val="24"/>
        </w:rPr>
      </w:pPr>
      <w:r w:rsidRPr="0026453E">
        <w:rPr>
          <w:rFonts w:ascii="Times New Roman" w:hAnsi="Times New Roman" w:cs="Times New Roman"/>
          <w:sz w:val="24"/>
          <w:szCs w:val="24"/>
        </w:rPr>
        <w:t xml:space="preserve"> 8.      </w:t>
      </w:r>
      <w:r w:rsidR="00F267FD" w:rsidRPr="00F267FD">
        <w:rPr>
          <w:rFonts w:ascii="Times New Roman" w:hAnsi="Times New Roman" w:cs="Times New Roman"/>
          <w:sz w:val="24"/>
          <w:szCs w:val="24"/>
        </w:rPr>
        <w:t xml:space="preserve">Indo–Mozambique bilateral merchandise trade increased significantly from </w:t>
      </w:r>
      <w:r w:rsidR="00F267FD" w:rsidRPr="00F267FD">
        <w:rPr>
          <w:rStyle w:val="Strong"/>
          <w:rFonts w:ascii="Times New Roman" w:hAnsi="Times New Roman" w:cs="Times New Roman"/>
          <w:sz w:val="24"/>
          <w:szCs w:val="24"/>
        </w:rPr>
        <w:t>US$ 1,862.94 million</w:t>
      </w:r>
      <w:r w:rsidR="00F267FD" w:rsidRPr="00F267FD">
        <w:rPr>
          <w:rFonts w:ascii="Times New Roman" w:hAnsi="Times New Roman" w:cs="Times New Roman"/>
          <w:sz w:val="24"/>
          <w:szCs w:val="24"/>
        </w:rPr>
        <w:t xml:space="preserve"> in FY 2020–21 to </w:t>
      </w:r>
      <w:r w:rsidR="00F267FD" w:rsidRPr="00F267FD">
        <w:rPr>
          <w:rStyle w:val="Strong"/>
          <w:rFonts w:ascii="Times New Roman" w:hAnsi="Times New Roman" w:cs="Times New Roman"/>
          <w:sz w:val="24"/>
          <w:szCs w:val="24"/>
        </w:rPr>
        <w:t>US$ 5,028.43 million</w:t>
      </w:r>
      <w:r w:rsidR="00F267FD" w:rsidRPr="00F267FD">
        <w:rPr>
          <w:rFonts w:ascii="Times New Roman" w:hAnsi="Times New Roman" w:cs="Times New Roman"/>
          <w:sz w:val="24"/>
          <w:szCs w:val="24"/>
        </w:rPr>
        <w:t xml:space="preserve"> in FY 2022–23, before declining to </w:t>
      </w:r>
      <w:r w:rsidR="00F267FD" w:rsidRPr="00F267FD">
        <w:rPr>
          <w:rStyle w:val="Strong"/>
          <w:rFonts w:ascii="Times New Roman" w:hAnsi="Times New Roman" w:cs="Times New Roman"/>
          <w:sz w:val="24"/>
          <w:szCs w:val="24"/>
        </w:rPr>
        <w:t>US$ 4,415.11 million</w:t>
      </w:r>
      <w:r w:rsidR="00F267FD" w:rsidRPr="00F267FD">
        <w:rPr>
          <w:rFonts w:ascii="Times New Roman" w:hAnsi="Times New Roman" w:cs="Times New Roman"/>
          <w:sz w:val="24"/>
          <w:szCs w:val="24"/>
        </w:rPr>
        <w:t xml:space="preserve"> in FY 2023–24 and further to </w:t>
      </w:r>
      <w:r w:rsidR="00F267FD" w:rsidRPr="00F267FD">
        <w:rPr>
          <w:rStyle w:val="Strong"/>
          <w:rFonts w:ascii="Times New Roman" w:hAnsi="Times New Roman" w:cs="Times New Roman"/>
          <w:sz w:val="24"/>
          <w:szCs w:val="24"/>
        </w:rPr>
        <w:t>US$ 3,420.63 million</w:t>
      </w:r>
      <w:r w:rsidR="00F267FD" w:rsidRPr="00F267FD">
        <w:rPr>
          <w:rFonts w:ascii="Times New Roman" w:hAnsi="Times New Roman" w:cs="Times New Roman"/>
          <w:sz w:val="24"/>
          <w:szCs w:val="24"/>
        </w:rPr>
        <w:t xml:space="preserve"> in FY 2024–25. During FY 2020–21 to FY 2024–25, total bilateral trade recorded a </w:t>
      </w:r>
      <w:r w:rsidR="00F267FD" w:rsidRPr="00F267FD">
        <w:rPr>
          <w:rStyle w:val="Strong"/>
          <w:rFonts w:ascii="Times New Roman" w:hAnsi="Times New Roman" w:cs="Times New Roman"/>
          <w:sz w:val="24"/>
          <w:szCs w:val="24"/>
        </w:rPr>
        <w:t>compound annual growth rate (CAGR) of 16.41%</w:t>
      </w:r>
      <w:r w:rsidR="00F267FD" w:rsidRPr="00F267FD">
        <w:rPr>
          <w:rFonts w:ascii="Times New Roman" w:hAnsi="Times New Roman" w:cs="Times New Roman"/>
          <w:sz w:val="24"/>
          <w:szCs w:val="24"/>
        </w:rPr>
        <w:t xml:space="preserve">. The highest annual growth in bilateral trade was recorded in </w:t>
      </w:r>
      <w:r w:rsidR="00F267FD" w:rsidRPr="00F267FD">
        <w:rPr>
          <w:rStyle w:val="Strong"/>
          <w:rFonts w:ascii="Times New Roman" w:hAnsi="Times New Roman" w:cs="Times New Roman"/>
          <w:sz w:val="24"/>
          <w:szCs w:val="24"/>
        </w:rPr>
        <w:t>FY 2021–22 (106.94%)</w:t>
      </w:r>
      <w:r w:rsidR="00F267FD" w:rsidRPr="00F267FD">
        <w:rPr>
          <w:rFonts w:ascii="Times New Roman" w:hAnsi="Times New Roman" w:cs="Times New Roman"/>
          <w:sz w:val="24"/>
          <w:szCs w:val="24"/>
        </w:rPr>
        <w:t xml:space="preserve">, followed by </w:t>
      </w:r>
      <w:r w:rsidR="00F267FD" w:rsidRPr="00F267FD">
        <w:rPr>
          <w:rStyle w:val="Strong"/>
          <w:rFonts w:ascii="Times New Roman" w:hAnsi="Times New Roman" w:cs="Times New Roman"/>
          <w:sz w:val="24"/>
          <w:szCs w:val="24"/>
        </w:rPr>
        <w:t>30.43%</w:t>
      </w:r>
      <w:r w:rsidR="00F267FD" w:rsidRPr="00F267FD">
        <w:rPr>
          <w:rFonts w:ascii="Times New Roman" w:hAnsi="Times New Roman" w:cs="Times New Roman"/>
          <w:sz w:val="24"/>
          <w:szCs w:val="24"/>
        </w:rPr>
        <w:t xml:space="preserve"> in FY 2022–23. Thereafter, bilateral trade declined by </w:t>
      </w:r>
      <w:r w:rsidR="00F267FD" w:rsidRPr="00F267FD">
        <w:rPr>
          <w:rStyle w:val="Strong"/>
          <w:rFonts w:ascii="Times New Roman" w:hAnsi="Times New Roman" w:cs="Times New Roman"/>
          <w:sz w:val="24"/>
          <w:szCs w:val="24"/>
        </w:rPr>
        <w:t>12.20%</w:t>
      </w:r>
      <w:r w:rsidR="00F267FD" w:rsidRPr="00F267FD">
        <w:rPr>
          <w:rFonts w:ascii="Times New Roman" w:hAnsi="Times New Roman" w:cs="Times New Roman"/>
          <w:sz w:val="24"/>
          <w:szCs w:val="24"/>
        </w:rPr>
        <w:t xml:space="preserve"> in FY 2023–24 and </w:t>
      </w:r>
      <w:r w:rsidR="00F267FD" w:rsidRPr="00F267FD">
        <w:rPr>
          <w:rStyle w:val="Strong"/>
          <w:rFonts w:ascii="Times New Roman" w:hAnsi="Times New Roman" w:cs="Times New Roman"/>
          <w:sz w:val="24"/>
          <w:szCs w:val="24"/>
        </w:rPr>
        <w:t>22.52%</w:t>
      </w:r>
      <w:r w:rsidR="00F267FD" w:rsidRPr="00F267FD">
        <w:rPr>
          <w:rFonts w:ascii="Times New Roman" w:hAnsi="Times New Roman" w:cs="Times New Roman"/>
          <w:sz w:val="24"/>
          <w:szCs w:val="24"/>
        </w:rPr>
        <w:t xml:space="preserve"> in FY 2024–25.</w:t>
      </w:r>
    </w:p>
    <w:p w14:paraId="6A3C1384" w14:textId="77777777" w:rsidR="0069358F" w:rsidRDefault="0069358F" w:rsidP="0026453E">
      <w:pPr>
        <w:spacing w:line="240" w:lineRule="auto"/>
        <w:jc w:val="both"/>
        <w:rPr>
          <w:rFonts w:ascii="Times New Roman" w:hAnsi="Times New Roman" w:cs="Times New Roman"/>
          <w:bCs/>
          <w:sz w:val="24"/>
          <w:szCs w:val="24"/>
        </w:rPr>
      </w:pPr>
    </w:p>
    <w:p w14:paraId="1DC5A2DF" w14:textId="77777777" w:rsidR="006217AC" w:rsidRDefault="002E6A2D" w:rsidP="00F267FD">
      <w:pPr>
        <w:spacing w:line="240" w:lineRule="auto"/>
        <w:jc w:val="both"/>
        <w:rPr>
          <w:rFonts w:ascii="Times New Roman" w:hAnsi="Times New Roman" w:cs="Times New Roman"/>
          <w:i/>
          <w:sz w:val="24"/>
          <w:szCs w:val="24"/>
        </w:rPr>
      </w:pPr>
      <w:r w:rsidRPr="0026453E">
        <w:rPr>
          <w:rFonts w:ascii="Times New Roman" w:hAnsi="Times New Roman" w:cs="Times New Roman"/>
          <w:bCs/>
          <w:sz w:val="24"/>
          <w:szCs w:val="24"/>
        </w:rPr>
        <w:t>9.</w:t>
      </w:r>
      <w:r w:rsidRPr="0026453E">
        <w:rPr>
          <w:rFonts w:ascii="Times New Roman" w:hAnsi="Times New Roman" w:cs="Times New Roman"/>
          <w:bCs/>
          <w:sz w:val="24"/>
          <w:szCs w:val="24"/>
        </w:rPr>
        <w:tab/>
      </w:r>
      <w:r w:rsidR="00F267FD" w:rsidRPr="00F267FD">
        <w:rPr>
          <w:rFonts w:ascii="Times New Roman" w:hAnsi="Times New Roman" w:cs="Times New Roman"/>
          <w:sz w:val="24"/>
          <w:szCs w:val="24"/>
        </w:rPr>
        <w:t xml:space="preserve">The available data indicates that </w:t>
      </w:r>
      <w:r w:rsidR="00F267FD" w:rsidRPr="00F267FD">
        <w:rPr>
          <w:rStyle w:val="Strong"/>
          <w:rFonts w:ascii="Times New Roman" w:hAnsi="Times New Roman" w:cs="Times New Roman"/>
          <w:sz w:val="24"/>
          <w:szCs w:val="24"/>
        </w:rPr>
        <w:t>India maintained a trade surplus with Mozambique in FY 2020–21 and FY 2021–22</w:t>
      </w:r>
      <w:r w:rsidR="00F267FD" w:rsidRPr="00F267FD">
        <w:rPr>
          <w:rFonts w:ascii="Times New Roman" w:hAnsi="Times New Roman" w:cs="Times New Roman"/>
          <w:sz w:val="24"/>
          <w:szCs w:val="24"/>
        </w:rPr>
        <w:t xml:space="preserve">, amounting to </w:t>
      </w:r>
      <w:r w:rsidR="00F267FD" w:rsidRPr="00F267FD">
        <w:rPr>
          <w:rStyle w:val="Strong"/>
          <w:rFonts w:ascii="Times New Roman" w:hAnsi="Times New Roman" w:cs="Times New Roman"/>
          <w:sz w:val="24"/>
          <w:szCs w:val="24"/>
        </w:rPr>
        <w:t>US$ 599.74 million</w:t>
      </w:r>
      <w:r w:rsidR="00F267FD" w:rsidRPr="00F267FD">
        <w:rPr>
          <w:rFonts w:ascii="Times New Roman" w:hAnsi="Times New Roman" w:cs="Times New Roman"/>
          <w:sz w:val="24"/>
          <w:szCs w:val="24"/>
        </w:rPr>
        <w:t xml:space="preserve"> and </w:t>
      </w:r>
      <w:r w:rsidR="00F267FD" w:rsidRPr="00F267FD">
        <w:rPr>
          <w:rStyle w:val="Strong"/>
          <w:rFonts w:ascii="Times New Roman" w:hAnsi="Times New Roman" w:cs="Times New Roman"/>
          <w:sz w:val="24"/>
          <w:szCs w:val="24"/>
        </w:rPr>
        <w:t>US$ 96.27 million</w:t>
      </w:r>
      <w:r w:rsidR="00F267FD" w:rsidRPr="00F267FD">
        <w:rPr>
          <w:rFonts w:ascii="Times New Roman" w:hAnsi="Times New Roman" w:cs="Times New Roman"/>
          <w:sz w:val="24"/>
          <w:szCs w:val="24"/>
        </w:rPr>
        <w:t xml:space="preserve">, respectively. However, from </w:t>
      </w:r>
      <w:r w:rsidR="00F267FD" w:rsidRPr="00F267FD">
        <w:rPr>
          <w:rStyle w:val="Strong"/>
          <w:rFonts w:ascii="Times New Roman" w:hAnsi="Times New Roman" w:cs="Times New Roman"/>
          <w:sz w:val="24"/>
          <w:szCs w:val="24"/>
        </w:rPr>
        <w:t>FY 2022–23 onwards</w:t>
      </w:r>
      <w:r w:rsidR="00F267FD" w:rsidRPr="00F267FD">
        <w:rPr>
          <w:rFonts w:ascii="Times New Roman" w:hAnsi="Times New Roman" w:cs="Times New Roman"/>
          <w:sz w:val="24"/>
          <w:szCs w:val="24"/>
        </w:rPr>
        <w:t xml:space="preserve">, India recorded a </w:t>
      </w:r>
      <w:r w:rsidR="00F267FD" w:rsidRPr="00F267FD">
        <w:rPr>
          <w:rStyle w:val="Strong"/>
          <w:rFonts w:ascii="Times New Roman" w:hAnsi="Times New Roman" w:cs="Times New Roman"/>
          <w:sz w:val="24"/>
          <w:szCs w:val="24"/>
        </w:rPr>
        <w:t>trade deficit</w:t>
      </w:r>
      <w:r w:rsidR="00F267FD" w:rsidRPr="00F267FD">
        <w:rPr>
          <w:rFonts w:ascii="Times New Roman" w:hAnsi="Times New Roman" w:cs="Times New Roman"/>
          <w:sz w:val="24"/>
          <w:szCs w:val="24"/>
        </w:rPr>
        <w:t xml:space="preserve">, as imports from Mozambique exceeded exports. India's exports to Mozambique grew by </w:t>
      </w:r>
      <w:r w:rsidR="00F267FD" w:rsidRPr="00F267FD">
        <w:rPr>
          <w:rStyle w:val="Strong"/>
          <w:rFonts w:ascii="Times New Roman" w:hAnsi="Times New Roman" w:cs="Times New Roman"/>
          <w:sz w:val="24"/>
          <w:szCs w:val="24"/>
        </w:rPr>
        <w:t>60.46%</w:t>
      </w:r>
      <w:r w:rsidR="00F267FD" w:rsidRPr="00F267FD">
        <w:rPr>
          <w:rFonts w:ascii="Times New Roman" w:hAnsi="Times New Roman" w:cs="Times New Roman"/>
          <w:sz w:val="24"/>
          <w:szCs w:val="24"/>
        </w:rPr>
        <w:t xml:space="preserve"> in FY 2021–22 and </w:t>
      </w:r>
      <w:r w:rsidR="00F267FD" w:rsidRPr="00F267FD">
        <w:rPr>
          <w:rStyle w:val="Strong"/>
          <w:rFonts w:ascii="Times New Roman" w:hAnsi="Times New Roman" w:cs="Times New Roman"/>
          <w:sz w:val="24"/>
          <w:szCs w:val="24"/>
        </w:rPr>
        <w:t>26.86%</w:t>
      </w:r>
      <w:r w:rsidR="00F267FD" w:rsidRPr="00F267FD">
        <w:rPr>
          <w:rFonts w:ascii="Times New Roman" w:hAnsi="Times New Roman" w:cs="Times New Roman"/>
          <w:sz w:val="24"/>
          <w:szCs w:val="24"/>
        </w:rPr>
        <w:t xml:space="preserve"> in FY 2022–23, before declining by </w:t>
      </w:r>
      <w:r w:rsidR="00F267FD" w:rsidRPr="00F267FD">
        <w:rPr>
          <w:rStyle w:val="Strong"/>
          <w:rFonts w:ascii="Times New Roman" w:hAnsi="Times New Roman" w:cs="Times New Roman"/>
          <w:sz w:val="24"/>
          <w:szCs w:val="24"/>
        </w:rPr>
        <w:t>20.37%</w:t>
      </w:r>
      <w:r w:rsidR="00F267FD" w:rsidRPr="00F267FD">
        <w:rPr>
          <w:rFonts w:ascii="Times New Roman" w:hAnsi="Times New Roman" w:cs="Times New Roman"/>
          <w:sz w:val="24"/>
          <w:szCs w:val="24"/>
        </w:rPr>
        <w:t xml:space="preserve"> in FY 2023–24 and </w:t>
      </w:r>
      <w:r w:rsidR="00F267FD" w:rsidRPr="00F267FD">
        <w:rPr>
          <w:rStyle w:val="Strong"/>
          <w:rFonts w:ascii="Times New Roman" w:hAnsi="Times New Roman" w:cs="Times New Roman"/>
          <w:sz w:val="24"/>
          <w:szCs w:val="24"/>
        </w:rPr>
        <w:t>33.70%</w:t>
      </w:r>
      <w:r w:rsidR="00F267FD" w:rsidRPr="00F267FD">
        <w:rPr>
          <w:rFonts w:ascii="Times New Roman" w:hAnsi="Times New Roman" w:cs="Times New Roman"/>
          <w:sz w:val="24"/>
          <w:szCs w:val="24"/>
        </w:rPr>
        <w:t xml:space="preserve"> in FY 2024–25, recording a </w:t>
      </w:r>
      <w:r w:rsidR="00F267FD" w:rsidRPr="00F267FD">
        <w:rPr>
          <w:rStyle w:val="Strong"/>
          <w:rFonts w:ascii="Times New Roman" w:hAnsi="Times New Roman" w:cs="Times New Roman"/>
          <w:sz w:val="24"/>
          <w:szCs w:val="24"/>
        </w:rPr>
        <w:t>CAGR of 1.82%</w:t>
      </w:r>
      <w:r w:rsidR="00F267FD" w:rsidRPr="00F267FD">
        <w:rPr>
          <w:rFonts w:ascii="Times New Roman" w:hAnsi="Times New Roman" w:cs="Times New Roman"/>
          <w:sz w:val="24"/>
          <w:szCs w:val="24"/>
        </w:rPr>
        <w:t xml:space="preserve"> during the period. Imports from Mozambique increased sharply by </w:t>
      </w:r>
      <w:r w:rsidR="00F267FD" w:rsidRPr="00F267FD">
        <w:rPr>
          <w:rStyle w:val="Strong"/>
          <w:rFonts w:ascii="Times New Roman" w:hAnsi="Times New Roman" w:cs="Times New Roman"/>
          <w:sz w:val="24"/>
          <w:szCs w:val="24"/>
        </w:rPr>
        <w:t>197.58%</w:t>
      </w:r>
      <w:r w:rsidR="00F267FD" w:rsidRPr="00F267FD">
        <w:rPr>
          <w:rFonts w:ascii="Times New Roman" w:hAnsi="Times New Roman" w:cs="Times New Roman"/>
          <w:sz w:val="24"/>
          <w:szCs w:val="24"/>
        </w:rPr>
        <w:t xml:space="preserve"> in FY 2021–22 and </w:t>
      </w:r>
      <w:r w:rsidR="00F267FD" w:rsidRPr="00F267FD">
        <w:rPr>
          <w:rStyle w:val="Strong"/>
          <w:rFonts w:ascii="Times New Roman" w:hAnsi="Times New Roman" w:cs="Times New Roman"/>
          <w:sz w:val="24"/>
          <w:szCs w:val="24"/>
        </w:rPr>
        <w:t>34.18%</w:t>
      </w:r>
      <w:r w:rsidR="00F267FD" w:rsidRPr="00F267FD">
        <w:rPr>
          <w:rFonts w:ascii="Times New Roman" w:hAnsi="Times New Roman" w:cs="Times New Roman"/>
          <w:sz w:val="24"/>
          <w:szCs w:val="24"/>
        </w:rPr>
        <w:t xml:space="preserve"> in FY 2022–23, followed by declines of </w:t>
      </w:r>
      <w:r w:rsidR="00F267FD" w:rsidRPr="00F267FD">
        <w:rPr>
          <w:rStyle w:val="Strong"/>
          <w:rFonts w:ascii="Times New Roman" w:hAnsi="Times New Roman" w:cs="Times New Roman"/>
          <w:sz w:val="24"/>
          <w:szCs w:val="24"/>
        </w:rPr>
        <w:t>4.08%</w:t>
      </w:r>
      <w:r w:rsidR="00F267FD" w:rsidRPr="00F267FD">
        <w:rPr>
          <w:rFonts w:ascii="Times New Roman" w:hAnsi="Times New Roman" w:cs="Times New Roman"/>
          <w:sz w:val="24"/>
          <w:szCs w:val="24"/>
        </w:rPr>
        <w:t xml:space="preserve"> in FY 2023–24 and </w:t>
      </w:r>
      <w:r w:rsidR="00F267FD" w:rsidRPr="00F267FD">
        <w:rPr>
          <w:rStyle w:val="Strong"/>
          <w:rFonts w:ascii="Times New Roman" w:hAnsi="Times New Roman" w:cs="Times New Roman"/>
          <w:sz w:val="24"/>
          <w:szCs w:val="24"/>
        </w:rPr>
        <w:t>13.31%</w:t>
      </w:r>
      <w:r w:rsidR="00F267FD" w:rsidRPr="00F267FD">
        <w:rPr>
          <w:rFonts w:ascii="Times New Roman" w:hAnsi="Times New Roman" w:cs="Times New Roman"/>
          <w:sz w:val="24"/>
          <w:szCs w:val="24"/>
        </w:rPr>
        <w:t xml:space="preserve"> in FY 2024–25, registering a </w:t>
      </w:r>
      <w:r w:rsidR="00F267FD" w:rsidRPr="00F267FD">
        <w:rPr>
          <w:rStyle w:val="Strong"/>
          <w:rFonts w:ascii="Times New Roman" w:hAnsi="Times New Roman" w:cs="Times New Roman"/>
          <w:sz w:val="24"/>
          <w:szCs w:val="24"/>
        </w:rPr>
        <w:t>CAGR of 34.99%</w:t>
      </w:r>
      <w:r w:rsidR="00F267FD" w:rsidRPr="00F267FD">
        <w:rPr>
          <w:rFonts w:ascii="Times New Roman" w:hAnsi="Times New Roman" w:cs="Times New Roman"/>
          <w:sz w:val="24"/>
          <w:szCs w:val="24"/>
        </w:rPr>
        <w:t xml:space="preserve"> over the review period. Consequently, India's trade balance shifted from a </w:t>
      </w:r>
      <w:r w:rsidR="00F267FD" w:rsidRPr="00F267FD">
        <w:rPr>
          <w:rStyle w:val="Strong"/>
          <w:rFonts w:ascii="Times New Roman" w:hAnsi="Times New Roman" w:cs="Times New Roman"/>
          <w:sz w:val="24"/>
          <w:szCs w:val="24"/>
        </w:rPr>
        <w:t>surplus of US$ 599.74 million</w:t>
      </w:r>
      <w:r w:rsidR="00F267FD" w:rsidRPr="00F267FD">
        <w:rPr>
          <w:rFonts w:ascii="Times New Roman" w:hAnsi="Times New Roman" w:cs="Times New Roman"/>
          <w:sz w:val="24"/>
          <w:szCs w:val="24"/>
        </w:rPr>
        <w:t xml:space="preserve"> in FY 2020–21 to a </w:t>
      </w:r>
      <w:r w:rsidR="00F267FD" w:rsidRPr="00F267FD">
        <w:rPr>
          <w:rStyle w:val="Strong"/>
          <w:rFonts w:ascii="Times New Roman" w:hAnsi="Times New Roman" w:cs="Times New Roman"/>
          <w:sz w:val="24"/>
          <w:szCs w:val="24"/>
        </w:rPr>
        <w:t>trade deficit of US$ 773.85 million</w:t>
      </w:r>
      <w:r w:rsidR="00F267FD" w:rsidRPr="00F267FD">
        <w:rPr>
          <w:rFonts w:ascii="Times New Roman" w:hAnsi="Times New Roman" w:cs="Times New Roman"/>
          <w:sz w:val="24"/>
          <w:szCs w:val="24"/>
        </w:rPr>
        <w:t xml:space="preserve"> in FY 2024–25.</w:t>
      </w:r>
    </w:p>
    <w:p w14:paraId="4205F86A" w14:textId="77777777" w:rsidR="0069358F" w:rsidRPr="0069358F" w:rsidRDefault="0069358F" w:rsidP="0069358F">
      <w:pPr>
        <w:spacing w:line="240" w:lineRule="auto"/>
        <w:jc w:val="both"/>
        <w:rPr>
          <w:rFonts w:ascii="Times New Roman" w:hAnsi="Times New Roman" w:cs="Times New Roman"/>
          <w:iCs/>
          <w:sz w:val="24"/>
          <w:szCs w:val="24"/>
        </w:rPr>
      </w:pPr>
    </w:p>
    <w:p w14:paraId="75F9B974" w14:textId="6D3C1569" w:rsidR="006179B8" w:rsidRDefault="008B76B9" w:rsidP="00550AE3">
      <w:pPr>
        <w:pStyle w:val="BodyText"/>
        <w:ind w:left="142"/>
        <w:rPr>
          <w:szCs w:val="24"/>
        </w:rPr>
      </w:pPr>
      <w:r w:rsidRPr="009F041E">
        <w:rPr>
          <w:szCs w:val="24"/>
        </w:rPr>
        <w:t xml:space="preserve"> </w:t>
      </w:r>
      <w:r w:rsidR="00450D59">
        <w:rPr>
          <w:szCs w:val="24"/>
        </w:rPr>
        <w:tab/>
      </w:r>
    </w:p>
    <w:p w14:paraId="7A17C535" w14:textId="084C7C13" w:rsidR="008E096F" w:rsidRPr="00450D59" w:rsidRDefault="008B76B9" w:rsidP="00550AE3">
      <w:pPr>
        <w:pStyle w:val="BodyText"/>
        <w:ind w:left="142"/>
        <w:rPr>
          <w:b/>
          <w:color w:val="984806" w:themeColor="accent6" w:themeShade="80"/>
          <w:szCs w:val="24"/>
        </w:rPr>
      </w:pPr>
      <w:r w:rsidRPr="00450D59">
        <w:rPr>
          <w:b/>
          <w:color w:val="984806" w:themeColor="accent6" w:themeShade="80"/>
          <w:szCs w:val="24"/>
        </w:rPr>
        <w:t xml:space="preserve">A snapshot of India’s </w:t>
      </w:r>
      <w:r w:rsidR="00D864CC" w:rsidRPr="00450D59">
        <w:rPr>
          <w:b/>
          <w:color w:val="984806" w:themeColor="accent6" w:themeShade="80"/>
          <w:szCs w:val="24"/>
        </w:rPr>
        <w:t xml:space="preserve">merchandise </w:t>
      </w:r>
      <w:r w:rsidRPr="00450D59">
        <w:rPr>
          <w:b/>
          <w:color w:val="984806" w:themeColor="accent6" w:themeShade="80"/>
          <w:szCs w:val="24"/>
        </w:rPr>
        <w:t xml:space="preserve">trade statistics </w:t>
      </w:r>
      <w:proofErr w:type="spellStart"/>
      <w:r w:rsidRPr="00450D59">
        <w:rPr>
          <w:b/>
          <w:color w:val="984806" w:themeColor="accent6" w:themeShade="80"/>
          <w:szCs w:val="24"/>
        </w:rPr>
        <w:t>w.r.t.</w:t>
      </w:r>
      <w:proofErr w:type="spellEnd"/>
      <w:r w:rsidRPr="00450D59">
        <w:rPr>
          <w:b/>
          <w:color w:val="984806" w:themeColor="accent6" w:themeShade="80"/>
          <w:szCs w:val="24"/>
        </w:rPr>
        <w:t xml:space="preserve"> </w:t>
      </w:r>
      <w:r w:rsidR="00E21D32">
        <w:rPr>
          <w:b/>
          <w:color w:val="984806" w:themeColor="accent6" w:themeShade="80"/>
          <w:szCs w:val="24"/>
        </w:rPr>
        <w:t>Mozambique</w:t>
      </w:r>
      <w:r w:rsidRPr="00450D59">
        <w:rPr>
          <w:b/>
          <w:color w:val="984806" w:themeColor="accent6" w:themeShade="80"/>
          <w:szCs w:val="24"/>
        </w:rPr>
        <w:t xml:space="preserve"> is presented in </w:t>
      </w:r>
      <w:r w:rsidR="00D864CC" w:rsidRPr="00450D59">
        <w:rPr>
          <w:b/>
          <w:color w:val="984806" w:themeColor="accent6" w:themeShade="80"/>
          <w:szCs w:val="24"/>
        </w:rPr>
        <w:t>Table 3 &amp; Figure 2.</w:t>
      </w:r>
    </w:p>
    <w:p w14:paraId="032E505C" w14:textId="77777777" w:rsidR="00977AFA" w:rsidRDefault="00977AFA">
      <w:pPr>
        <w:rPr>
          <w:rFonts w:ascii="Times New Roman" w:eastAsia="Times New Roman" w:hAnsi="Times New Roman" w:cs="Times New Roman"/>
          <w:b/>
          <w:bCs/>
          <w:color w:val="31849B" w:themeColor="accent5" w:themeShade="BF"/>
          <w:sz w:val="24"/>
          <w:szCs w:val="24"/>
          <w:lang w:val="en-US" w:eastAsia="en-IN" w:bidi="bn-IN"/>
        </w:rPr>
      </w:pPr>
      <w:r>
        <w:rPr>
          <w:b/>
          <w:bCs/>
          <w:color w:val="31849B" w:themeColor="accent5" w:themeShade="BF"/>
          <w:szCs w:val="24"/>
          <w:lang w:eastAsia="en-IN" w:bidi="bn-IN"/>
        </w:rPr>
        <w:br w:type="page"/>
      </w:r>
    </w:p>
    <w:p w14:paraId="4D945770" w14:textId="77777777" w:rsidR="00FD6365" w:rsidRDefault="00FD6365" w:rsidP="0069358F">
      <w:pPr>
        <w:pStyle w:val="BodyText"/>
        <w:ind w:left="142"/>
        <w:jc w:val="center"/>
        <w:rPr>
          <w:b/>
          <w:bCs/>
          <w:color w:val="31849B" w:themeColor="accent5" w:themeShade="BF"/>
          <w:szCs w:val="24"/>
          <w:lang w:eastAsia="en-IN" w:bidi="bn-IN"/>
        </w:rPr>
      </w:pPr>
    </w:p>
    <w:p w14:paraId="24155E88" w14:textId="7302CD8C" w:rsidR="0069358F" w:rsidRPr="00845875" w:rsidRDefault="0069358F" w:rsidP="0069358F">
      <w:pPr>
        <w:pStyle w:val="BodyText"/>
        <w:ind w:left="142"/>
        <w:jc w:val="center"/>
        <w:rPr>
          <w:color w:val="31849B" w:themeColor="accent5" w:themeShade="BF"/>
          <w:szCs w:val="24"/>
        </w:rPr>
      </w:pPr>
      <w:r w:rsidRPr="00845875">
        <w:rPr>
          <w:b/>
          <w:bCs/>
          <w:color w:val="31849B" w:themeColor="accent5" w:themeShade="BF"/>
          <w:szCs w:val="24"/>
          <w:lang w:eastAsia="en-IN" w:bidi="bn-IN"/>
        </w:rPr>
        <w:t>TABLE - 3</w:t>
      </w:r>
    </w:p>
    <w:tbl>
      <w:tblPr>
        <w:tblW w:w="12652" w:type="dxa"/>
        <w:tblInd w:w="250" w:type="dxa"/>
        <w:tblLook w:val="04A0" w:firstRow="1" w:lastRow="0" w:firstColumn="1" w:lastColumn="0" w:noHBand="0" w:noVBand="1"/>
      </w:tblPr>
      <w:tblGrid>
        <w:gridCol w:w="421"/>
        <w:gridCol w:w="11589"/>
        <w:gridCol w:w="105"/>
        <w:gridCol w:w="275"/>
        <w:gridCol w:w="26"/>
        <w:gridCol w:w="236"/>
      </w:tblGrid>
      <w:tr w:rsidR="0069358F" w:rsidRPr="00FF16DF" w14:paraId="7BF62381" w14:textId="77777777" w:rsidTr="006179B8">
        <w:trPr>
          <w:gridAfter w:val="2"/>
          <w:wAfter w:w="262" w:type="dxa"/>
          <w:trHeight w:val="80"/>
        </w:trPr>
        <w:tc>
          <w:tcPr>
            <w:tcW w:w="421" w:type="dxa"/>
            <w:noWrap/>
            <w:vAlign w:val="bottom"/>
            <w:hideMark/>
          </w:tcPr>
          <w:p w14:paraId="62D85315" w14:textId="77777777" w:rsidR="00FF16DF" w:rsidRPr="00FF16DF" w:rsidRDefault="00FF16DF" w:rsidP="0069358F">
            <w:pPr>
              <w:rPr>
                <w:rFonts w:ascii="Times New Roman" w:eastAsia="Times New Roman" w:hAnsi="Times New Roman" w:cs="Times New Roman"/>
                <w:b/>
                <w:bCs/>
                <w:sz w:val="24"/>
                <w:szCs w:val="24"/>
                <w:lang w:eastAsia="en-IN" w:bidi="bn-IN"/>
              </w:rPr>
            </w:pPr>
          </w:p>
        </w:tc>
        <w:tc>
          <w:tcPr>
            <w:tcW w:w="11694" w:type="dxa"/>
            <w:gridSpan w:val="2"/>
            <w:noWrap/>
            <w:vAlign w:val="center"/>
            <w:hideMark/>
          </w:tcPr>
          <w:p w14:paraId="1FF83801" w14:textId="736D6EA5" w:rsidR="00FF16DF" w:rsidRPr="00FF16DF" w:rsidRDefault="00FF16DF" w:rsidP="006179B8">
            <w:pPr>
              <w:spacing w:after="0" w:line="240" w:lineRule="auto"/>
              <w:rPr>
                <w:rFonts w:ascii="Times New Roman" w:eastAsia="Times New Roman" w:hAnsi="Times New Roman" w:cs="Times New Roman"/>
                <w:b/>
                <w:bCs/>
                <w:sz w:val="24"/>
                <w:szCs w:val="24"/>
                <w:lang w:eastAsia="en-IN" w:bidi="bn-IN"/>
              </w:rPr>
            </w:pPr>
            <w:r w:rsidRPr="00FF16DF">
              <w:rPr>
                <w:rFonts w:ascii="Times New Roman" w:eastAsia="Times New Roman" w:hAnsi="Times New Roman" w:cs="Times New Roman"/>
                <w:b/>
                <w:bCs/>
                <w:sz w:val="24"/>
                <w:szCs w:val="24"/>
                <w:lang w:eastAsia="en-IN" w:bidi="bn-IN"/>
              </w:rPr>
              <w:t xml:space="preserve">INDIA'S MERCHANDISE EXPORTS &amp; IMPORTS </w:t>
            </w:r>
            <w:proofErr w:type="spellStart"/>
            <w:r w:rsidR="00AB4D1E">
              <w:rPr>
                <w:rFonts w:ascii="Times New Roman" w:eastAsia="Times New Roman" w:hAnsi="Times New Roman" w:cs="Times New Roman"/>
                <w:b/>
                <w:bCs/>
                <w:sz w:val="24"/>
                <w:szCs w:val="24"/>
                <w:lang w:eastAsia="en-IN" w:bidi="bn-IN"/>
              </w:rPr>
              <w:t>w.r.t.</w:t>
            </w:r>
            <w:proofErr w:type="spellEnd"/>
            <w:r w:rsidR="00024862">
              <w:rPr>
                <w:rFonts w:ascii="Times New Roman" w:eastAsia="Times New Roman" w:hAnsi="Times New Roman" w:cs="Times New Roman"/>
                <w:b/>
                <w:bCs/>
                <w:sz w:val="24"/>
                <w:szCs w:val="24"/>
                <w:lang w:eastAsia="en-IN" w:bidi="bn-IN"/>
              </w:rPr>
              <w:t xml:space="preserve"> </w:t>
            </w:r>
            <w:r w:rsidR="00E21D32">
              <w:rPr>
                <w:rFonts w:ascii="Times New Roman" w:eastAsia="Times New Roman" w:hAnsi="Times New Roman" w:cs="Times New Roman"/>
                <w:b/>
                <w:bCs/>
                <w:sz w:val="24"/>
                <w:szCs w:val="24"/>
                <w:lang w:eastAsia="en-IN" w:bidi="bn-IN"/>
              </w:rPr>
              <w:t>MOZAMBIQUE</w:t>
            </w:r>
            <w:r w:rsidR="006179B8">
              <w:rPr>
                <w:rFonts w:ascii="Times New Roman" w:eastAsia="Times New Roman" w:hAnsi="Times New Roman" w:cs="Times New Roman"/>
                <w:b/>
                <w:bCs/>
                <w:sz w:val="24"/>
                <w:szCs w:val="24"/>
                <w:lang w:eastAsia="en-IN" w:bidi="bn-IN"/>
              </w:rPr>
              <w:t xml:space="preserve"> </w:t>
            </w:r>
            <w:r w:rsidR="006179B8" w:rsidRPr="00FF16DF">
              <w:rPr>
                <w:rFonts w:ascii="Times New Roman" w:eastAsia="Times New Roman" w:hAnsi="Times New Roman" w:cs="Times New Roman"/>
                <w:b/>
                <w:bCs/>
                <w:sz w:val="24"/>
                <w:szCs w:val="24"/>
                <w:lang w:eastAsia="en-IN" w:bidi="bn-IN"/>
              </w:rPr>
              <w:t>FY 2020-21 to 2024-25</w:t>
            </w:r>
          </w:p>
        </w:tc>
        <w:tc>
          <w:tcPr>
            <w:tcW w:w="275" w:type="dxa"/>
            <w:noWrap/>
            <w:vAlign w:val="bottom"/>
            <w:hideMark/>
          </w:tcPr>
          <w:p w14:paraId="10893D02" w14:textId="77777777" w:rsidR="00FF16DF" w:rsidRPr="00FF16DF" w:rsidRDefault="00FF16DF" w:rsidP="00FF16DF">
            <w:pPr>
              <w:spacing w:after="0" w:line="240" w:lineRule="auto"/>
              <w:rPr>
                <w:rFonts w:ascii="Times New Roman" w:eastAsia="Times New Roman" w:hAnsi="Times New Roman" w:cs="Times New Roman"/>
                <w:b/>
                <w:bCs/>
                <w:sz w:val="24"/>
                <w:szCs w:val="24"/>
                <w:lang w:eastAsia="en-IN" w:bidi="bn-IN"/>
              </w:rPr>
            </w:pPr>
          </w:p>
        </w:tc>
      </w:tr>
      <w:tr w:rsidR="00024862" w:rsidRPr="00FF16DF" w14:paraId="6C507C40" w14:textId="77777777" w:rsidTr="006179B8">
        <w:trPr>
          <w:trHeight w:val="308"/>
        </w:trPr>
        <w:tc>
          <w:tcPr>
            <w:tcW w:w="421" w:type="dxa"/>
            <w:noWrap/>
            <w:vAlign w:val="bottom"/>
            <w:hideMark/>
          </w:tcPr>
          <w:p w14:paraId="2CBD0B65" w14:textId="77777777" w:rsidR="00FF16DF" w:rsidRPr="00FF16DF" w:rsidRDefault="00FF16DF" w:rsidP="00FF16DF">
            <w:pPr>
              <w:spacing w:after="0" w:line="240" w:lineRule="auto"/>
              <w:jc w:val="center"/>
              <w:rPr>
                <w:rFonts w:ascii="Times New Roman" w:eastAsia="Times New Roman" w:hAnsi="Times New Roman" w:cs="Times New Roman"/>
                <w:b/>
                <w:bCs/>
                <w:i/>
                <w:iCs/>
                <w:sz w:val="24"/>
                <w:szCs w:val="24"/>
                <w:lang w:eastAsia="en-IN" w:bidi="bn-IN"/>
              </w:rPr>
            </w:pPr>
          </w:p>
        </w:tc>
        <w:tc>
          <w:tcPr>
            <w:tcW w:w="11589" w:type="dxa"/>
            <w:noWrap/>
            <w:vAlign w:val="center"/>
            <w:hideMark/>
          </w:tcPr>
          <w:p w14:paraId="6B6ADB29" w14:textId="637338A3" w:rsidR="00FF16DF" w:rsidRDefault="00FF16DF" w:rsidP="006179B8">
            <w:pPr>
              <w:spacing w:after="0" w:line="240" w:lineRule="auto"/>
              <w:jc w:val="center"/>
              <w:rPr>
                <w:rFonts w:ascii="Times New Roman" w:eastAsia="Times New Roman" w:hAnsi="Times New Roman" w:cs="Times New Roman"/>
                <w:b/>
                <w:bCs/>
                <w:sz w:val="24"/>
                <w:szCs w:val="24"/>
                <w:lang w:eastAsia="en-IN" w:bidi="bn-IN"/>
              </w:rPr>
            </w:pPr>
          </w:p>
          <w:tbl>
            <w:tblPr>
              <w:tblW w:w="10386" w:type="dxa"/>
              <w:tblLook w:val="04A0" w:firstRow="1" w:lastRow="0" w:firstColumn="1" w:lastColumn="0" w:noHBand="0" w:noVBand="1"/>
            </w:tblPr>
            <w:tblGrid>
              <w:gridCol w:w="1172"/>
              <w:gridCol w:w="1339"/>
              <w:gridCol w:w="1213"/>
              <w:gridCol w:w="1339"/>
              <w:gridCol w:w="126"/>
              <w:gridCol w:w="1370"/>
              <w:gridCol w:w="193"/>
              <w:gridCol w:w="236"/>
              <w:gridCol w:w="846"/>
              <w:gridCol w:w="1418"/>
              <w:gridCol w:w="1134"/>
            </w:tblGrid>
            <w:tr w:rsidR="00D9556E" w:rsidRPr="00D9556E" w14:paraId="264F63CA" w14:textId="77777777" w:rsidTr="00D9556E">
              <w:trPr>
                <w:trHeight w:val="80"/>
              </w:trPr>
              <w:tc>
                <w:tcPr>
                  <w:tcW w:w="1172" w:type="dxa"/>
                  <w:tcBorders>
                    <w:top w:val="nil"/>
                    <w:left w:val="nil"/>
                    <w:bottom w:val="nil"/>
                    <w:right w:val="nil"/>
                  </w:tcBorders>
                  <w:noWrap/>
                  <w:vAlign w:val="bottom"/>
                  <w:hideMark/>
                </w:tcPr>
                <w:p w14:paraId="7D6699F2" w14:textId="77777777" w:rsidR="00D9556E" w:rsidRPr="00D9556E" w:rsidRDefault="00D9556E" w:rsidP="00D9556E">
                  <w:pPr>
                    <w:spacing w:after="0" w:line="240" w:lineRule="auto"/>
                    <w:jc w:val="center"/>
                    <w:rPr>
                      <w:rFonts w:ascii="Times New Roman" w:eastAsia="Times New Roman" w:hAnsi="Times New Roman" w:cs="Times New Roman"/>
                      <w:b/>
                      <w:bCs/>
                      <w:i/>
                      <w:iCs/>
                      <w:sz w:val="24"/>
                      <w:szCs w:val="24"/>
                      <w:lang w:eastAsia="en-IN" w:bidi="bn-IN"/>
                    </w:rPr>
                  </w:pPr>
                </w:p>
              </w:tc>
              <w:tc>
                <w:tcPr>
                  <w:tcW w:w="1339" w:type="dxa"/>
                  <w:tcBorders>
                    <w:top w:val="nil"/>
                    <w:left w:val="nil"/>
                    <w:bottom w:val="nil"/>
                    <w:right w:val="nil"/>
                  </w:tcBorders>
                  <w:noWrap/>
                  <w:vAlign w:val="bottom"/>
                  <w:hideMark/>
                </w:tcPr>
                <w:p w14:paraId="642CC209" w14:textId="77777777" w:rsidR="00D9556E" w:rsidRPr="00D9556E" w:rsidRDefault="00D9556E" w:rsidP="00D9556E">
                  <w:pPr>
                    <w:spacing w:after="0" w:line="240" w:lineRule="auto"/>
                    <w:rPr>
                      <w:rFonts w:ascii="Times New Roman" w:eastAsia="Times New Roman" w:hAnsi="Times New Roman" w:cs="Times New Roman"/>
                      <w:b/>
                      <w:bCs/>
                      <w:sz w:val="24"/>
                      <w:szCs w:val="24"/>
                      <w:lang w:eastAsia="en-IN" w:bidi="bn-IN"/>
                    </w:rPr>
                  </w:pPr>
                </w:p>
              </w:tc>
              <w:tc>
                <w:tcPr>
                  <w:tcW w:w="1213" w:type="dxa"/>
                  <w:tcBorders>
                    <w:top w:val="nil"/>
                    <w:left w:val="nil"/>
                    <w:bottom w:val="nil"/>
                    <w:right w:val="nil"/>
                  </w:tcBorders>
                  <w:noWrap/>
                  <w:vAlign w:val="bottom"/>
                  <w:hideMark/>
                </w:tcPr>
                <w:p w14:paraId="241CCD7B" w14:textId="77777777" w:rsidR="00D9556E" w:rsidRPr="00D9556E" w:rsidRDefault="00D9556E" w:rsidP="00D9556E">
                  <w:pPr>
                    <w:spacing w:after="0" w:line="240" w:lineRule="auto"/>
                    <w:rPr>
                      <w:rFonts w:ascii="Times New Roman" w:eastAsia="Times New Roman" w:hAnsi="Times New Roman" w:cs="Times New Roman"/>
                      <w:b/>
                      <w:bCs/>
                      <w:sz w:val="24"/>
                      <w:szCs w:val="24"/>
                      <w:lang w:eastAsia="en-IN" w:bidi="bn-IN"/>
                    </w:rPr>
                  </w:pPr>
                </w:p>
              </w:tc>
              <w:tc>
                <w:tcPr>
                  <w:tcW w:w="1339" w:type="dxa"/>
                  <w:tcBorders>
                    <w:top w:val="nil"/>
                    <w:left w:val="nil"/>
                    <w:bottom w:val="nil"/>
                    <w:right w:val="nil"/>
                  </w:tcBorders>
                  <w:noWrap/>
                  <w:vAlign w:val="bottom"/>
                  <w:hideMark/>
                </w:tcPr>
                <w:p w14:paraId="0003A4FB" w14:textId="77777777" w:rsidR="00D9556E" w:rsidRPr="00D9556E" w:rsidRDefault="00D9556E" w:rsidP="00D9556E">
                  <w:pPr>
                    <w:spacing w:after="0" w:line="240" w:lineRule="auto"/>
                    <w:jc w:val="center"/>
                    <w:rPr>
                      <w:rFonts w:ascii="Times New Roman" w:eastAsia="Times New Roman" w:hAnsi="Times New Roman" w:cs="Times New Roman"/>
                      <w:b/>
                      <w:bCs/>
                      <w:sz w:val="24"/>
                      <w:szCs w:val="24"/>
                      <w:lang w:eastAsia="en-IN" w:bidi="bn-IN"/>
                    </w:rPr>
                  </w:pPr>
                </w:p>
              </w:tc>
              <w:tc>
                <w:tcPr>
                  <w:tcW w:w="4189" w:type="dxa"/>
                  <w:gridSpan w:val="6"/>
                  <w:tcBorders>
                    <w:top w:val="nil"/>
                    <w:left w:val="nil"/>
                    <w:bottom w:val="single" w:sz="4" w:space="0" w:color="auto"/>
                    <w:right w:val="nil"/>
                  </w:tcBorders>
                  <w:noWrap/>
                  <w:vAlign w:val="bottom"/>
                  <w:hideMark/>
                </w:tcPr>
                <w:p w14:paraId="26DCD4A0"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 xml:space="preserve">         </w:t>
                  </w:r>
                  <w:r w:rsidR="007A1C11">
                    <w:rPr>
                      <w:rFonts w:ascii="Times New Roman" w:eastAsia="Times New Roman" w:hAnsi="Times New Roman" w:cs="Times New Roman"/>
                      <w:b/>
                      <w:bCs/>
                      <w:sz w:val="20"/>
                      <w:szCs w:val="20"/>
                      <w:lang w:eastAsia="en-IN" w:bidi="bn-IN"/>
                    </w:rPr>
                    <w:t xml:space="preserve">                              </w:t>
                  </w:r>
                  <w:r w:rsidRPr="00D9556E">
                    <w:rPr>
                      <w:rFonts w:ascii="Times New Roman" w:eastAsia="Times New Roman" w:hAnsi="Times New Roman" w:cs="Times New Roman"/>
                      <w:b/>
                      <w:bCs/>
                      <w:sz w:val="20"/>
                      <w:szCs w:val="20"/>
                      <w:lang w:eastAsia="en-IN" w:bidi="bn-IN"/>
                    </w:rPr>
                    <w:t xml:space="preserve"> (Value in USD Million)</w:t>
                  </w:r>
                </w:p>
              </w:tc>
              <w:tc>
                <w:tcPr>
                  <w:tcW w:w="1134" w:type="dxa"/>
                  <w:tcBorders>
                    <w:top w:val="nil"/>
                    <w:left w:val="nil"/>
                    <w:bottom w:val="nil"/>
                    <w:right w:val="nil"/>
                  </w:tcBorders>
                  <w:noWrap/>
                  <w:vAlign w:val="bottom"/>
                  <w:hideMark/>
                </w:tcPr>
                <w:p w14:paraId="00D5D4BF"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p>
              </w:tc>
            </w:tr>
            <w:tr w:rsidR="00D9556E" w:rsidRPr="00D9556E" w14:paraId="4A381B09" w14:textId="77777777" w:rsidTr="00D9556E">
              <w:trPr>
                <w:trHeight w:val="525"/>
              </w:trPr>
              <w:tc>
                <w:tcPr>
                  <w:tcW w:w="1172" w:type="dxa"/>
                  <w:vMerge w:val="restart"/>
                  <w:tcBorders>
                    <w:top w:val="single" w:sz="4" w:space="0" w:color="auto"/>
                    <w:left w:val="single" w:sz="4" w:space="0" w:color="auto"/>
                    <w:bottom w:val="single" w:sz="4" w:space="0" w:color="000000"/>
                    <w:right w:val="single" w:sz="4" w:space="0" w:color="auto"/>
                  </w:tcBorders>
                  <w:noWrap/>
                  <w:vAlign w:val="center"/>
                  <w:hideMark/>
                </w:tcPr>
                <w:p w14:paraId="4EB407A6"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Year</w:t>
                  </w:r>
                </w:p>
              </w:tc>
              <w:tc>
                <w:tcPr>
                  <w:tcW w:w="1339" w:type="dxa"/>
                  <w:vMerge w:val="restart"/>
                  <w:tcBorders>
                    <w:top w:val="single" w:sz="4" w:space="0" w:color="auto"/>
                    <w:left w:val="single" w:sz="4" w:space="0" w:color="auto"/>
                    <w:bottom w:val="nil"/>
                    <w:right w:val="single" w:sz="4" w:space="0" w:color="auto"/>
                  </w:tcBorders>
                  <w:vAlign w:val="center"/>
                  <w:hideMark/>
                </w:tcPr>
                <w:p w14:paraId="6B964F08" w14:textId="03CDD1A0" w:rsidR="00D9556E" w:rsidRPr="00D9556E" w:rsidRDefault="006179B8" w:rsidP="00D9556E">
                  <w:pPr>
                    <w:spacing w:after="0" w:line="240" w:lineRule="auto"/>
                    <w:jc w:val="center"/>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Exports from</w:t>
                  </w:r>
                  <w:r w:rsidR="00D9556E" w:rsidRPr="00D9556E">
                    <w:rPr>
                      <w:rFonts w:ascii="Times New Roman" w:eastAsia="Times New Roman" w:hAnsi="Times New Roman" w:cs="Times New Roman"/>
                      <w:b/>
                      <w:bCs/>
                      <w:sz w:val="20"/>
                      <w:szCs w:val="20"/>
                      <w:lang w:eastAsia="en-IN" w:bidi="bn-IN"/>
                    </w:rPr>
                    <w:t xml:space="preserve"> India to Mozambique</w:t>
                  </w:r>
                </w:p>
              </w:tc>
              <w:tc>
                <w:tcPr>
                  <w:tcW w:w="1213" w:type="dxa"/>
                  <w:tcBorders>
                    <w:top w:val="single" w:sz="4" w:space="0" w:color="auto"/>
                    <w:left w:val="nil"/>
                    <w:bottom w:val="nil"/>
                    <w:right w:val="single" w:sz="4" w:space="0" w:color="auto"/>
                  </w:tcBorders>
                  <w:noWrap/>
                  <w:vAlign w:val="center"/>
                  <w:hideMark/>
                </w:tcPr>
                <w:p w14:paraId="0062DD0C"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Percentage</w:t>
                  </w:r>
                </w:p>
              </w:tc>
              <w:tc>
                <w:tcPr>
                  <w:tcW w:w="1339" w:type="dxa"/>
                  <w:vMerge w:val="restart"/>
                  <w:tcBorders>
                    <w:top w:val="single" w:sz="4" w:space="0" w:color="auto"/>
                    <w:left w:val="single" w:sz="4" w:space="0" w:color="auto"/>
                    <w:bottom w:val="nil"/>
                    <w:right w:val="single" w:sz="4" w:space="0" w:color="auto"/>
                  </w:tcBorders>
                  <w:vAlign w:val="center"/>
                  <w:hideMark/>
                </w:tcPr>
                <w:p w14:paraId="6BC6C1A4"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Imports from Mozambique to India</w:t>
                  </w:r>
                </w:p>
              </w:tc>
              <w:tc>
                <w:tcPr>
                  <w:tcW w:w="1496" w:type="dxa"/>
                  <w:gridSpan w:val="2"/>
                  <w:tcBorders>
                    <w:top w:val="nil"/>
                    <w:left w:val="nil"/>
                    <w:bottom w:val="nil"/>
                    <w:right w:val="single" w:sz="4" w:space="0" w:color="auto"/>
                  </w:tcBorders>
                  <w:noWrap/>
                  <w:vAlign w:val="center"/>
                  <w:hideMark/>
                </w:tcPr>
                <w:p w14:paraId="42FF97D5"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Percentage</w:t>
                  </w:r>
                </w:p>
              </w:tc>
              <w:tc>
                <w:tcPr>
                  <w:tcW w:w="1275" w:type="dxa"/>
                  <w:gridSpan w:val="3"/>
                  <w:tcBorders>
                    <w:top w:val="nil"/>
                    <w:left w:val="nil"/>
                    <w:bottom w:val="nil"/>
                    <w:right w:val="single" w:sz="4" w:space="0" w:color="auto"/>
                  </w:tcBorders>
                  <w:noWrap/>
                  <w:vAlign w:val="center"/>
                  <w:hideMark/>
                </w:tcPr>
                <w:p w14:paraId="627093C7"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Volume</w:t>
                  </w:r>
                </w:p>
              </w:tc>
              <w:tc>
                <w:tcPr>
                  <w:tcW w:w="1418" w:type="dxa"/>
                  <w:tcBorders>
                    <w:top w:val="nil"/>
                    <w:left w:val="nil"/>
                    <w:bottom w:val="nil"/>
                    <w:right w:val="nil"/>
                  </w:tcBorders>
                  <w:vAlign w:val="center"/>
                  <w:hideMark/>
                </w:tcPr>
                <w:p w14:paraId="13E22B7D"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Percentage</w:t>
                  </w:r>
                </w:p>
              </w:tc>
              <w:tc>
                <w:tcPr>
                  <w:tcW w:w="1134" w:type="dxa"/>
                  <w:tcBorders>
                    <w:top w:val="single" w:sz="4" w:space="0" w:color="auto"/>
                    <w:left w:val="single" w:sz="4" w:space="0" w:color="auto"/>
                    <w:bottom w:val="nil"/>
                    <w:right w:val="single" w:sz="4" w:space="0" w:color="auto"/>
                  </w:tcBorders>
                  <w:noWrap/>
                  <w:vAlign w:val="center"/>
                  <w:hideMark/>
                </w:tcPr>
                <w:p w14:paraId="66AB06FE"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Balance</w:t>
                  </w:r>
                </w:p>
              </w:tc>
            </w:tr>
            <w:tr w:rsidR="00D9556E" w:rsidRPr="00D9556E" w14:paraId="444E7961" w14:textId="77777777" w:rsidTr="00D9556E">
              <w:trPr>
                <w:trHeight w:val="375"/>
              </w:trPr>
              <w:tc>
                <w:tcPr>
                  <w:tcW w:w="1172" w:type="dxa"/>
                  <w:vMerge/>
                  <w:tcBorders>
                    <w:top w:val="single" w:sz="4" w:space="0" w:color="auto"/>
                    <w:left w:val="single" w:sz="4" w:space="0" w:color="auto"/>
                    <w:bottom w:val="single" w:sz="4" w:space="0" w:color="000000"/>
                    <w:right w:val="single" w:sz="4" w:space="0" w:color="auto"/>
                  </w:tcBorders>
                  <w:vAlign w:val="center"/>
                  <w:hideMark/>
                </w:tcPr>
                <w:p w14:paraId="6571FD29"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p>
              </w:tc>
              <w:tc>
                <w:tcPr>
                  <w:tcW w:w="1339" w:type="dxa"/>
                  <w:vMerge/>
                  <w:tcBorders>
                    <w:top w:val="single" w:sz="4" w:space="0" w:color="auto"/>
                    <w:left w:val="single" w:sz="4" w:space="0" w:color="auto"/>
                    <w:bottom w:val="nil"/>
                    <w:right w:val="single" w:sz="4" w:space="0" w:color="auto"/>
                  </w:tcBorders>
                  <w:vAlign w:val="center"/>
                  <w:hideMark/>
                </w:tcPr>
                <w:p w14:paraId="610A0661"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p>
              </w:tc>
              <w:tc>
                <w:tcPr>
                  <w:tcW w:w="1213" w:type="dxa"/>
                  <w:tcBorders>
                    <w:top w:val="nil"/>
                    <w:left w:val="nil"/>
                    <w:bottom w:val="nil"/>
                    <w:right w:val="single" w:sz="4" w:space="0" w:color="auto"/>
                  </w:tcBorders>
                  <w:noWrap/>
                  <w:vAlign w:val="center"/>
                  <w:hideMark/>
                </w:tcPr>
                <w:p w14:paraId="58A39413"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Growth in</w:t>
                  </w:r>
                </w:p>
              </w:tc>
              <w:tc>
                <w:tcPr>
                  <w:tcW w:w="1339" w:type="dxa"/>
                  <w:vMerge/>
                  <w:tcBorders>
                    <w:top w:val="single" w:sz="4" w:space="0" w:color="auto"/>
                    <w:left w:val="single" w:sz="4" w:space="0" w:color="auto"/>
                    <w:bottom w:val="nil"/>
                    <w:right w:val="single" w:sz="4" w:space="0" w:color="auto"/>
                  </w:tcBorders>
                  <w:vAlign w:val="center"/>
                  <w:hideMark/>
                </w:tcPr>
                <w:p w14:paraId="167478C4"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p>
              </w:tc>
              <w:tc>
                <w:tcPr>
                  <w:tcW w:w="1496" w:type="dxa"/>
                  <w:gridSpan w:val="2"/>
                  <w:tcBorders>
                    <w:top w:val="nil"/>
                    <w:left w:val="nil"/>
                    <w:bottom w:val="nil"/>
                    <w:right w:val="single" w:sz="4" w:space="0" w:color="auto"/>
                  </w:tcBorders>
                  <w:noWrap/>
                  <w:vAlign w:val="center"/>
                  <w:hideMark/>
                </w:tcPr>
                <w:p w14:paraId="0D49C535"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Growth in</w:t>
                  </w:r>
                </w:p>
              </w:tc>
              <w:tc>
                <w:tcPr>
                  <w:tcW w:w="1275" w:type="dxa"/>
                  <w:gridSpan w:val="3"/>
                  <w:tcBorders>
                    <w:top w:val="nil"/>
                    <w:left w:val="nil"/>
                    <w:bottom w:val="nil"/>
                    <w:right w:val="single" w:sz="4" w:space="0" w:color="auto"/>
                  </w:tcBorders>
                  <w:noWrap/>
                  <w:vAlign w:val="center"/>
                  <w:hideMark/>
                </w:tcPr>
                <w:p w14:paraId="621F391A"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of</w:t>
                  </w:r>
                </w:p>
              </w:tc>
              <w:tc>
                <w:tcPr>
                  <w:tcW w:w="1418" w:type="dxa"/>
                  <w:tcBorders>
                    <w:top w:val="nil"/>
                    <w:left w:val="nil"/>
                    <w:bottom w:val="nil"/>
                    <w:right w:val="nil"/>
                  </w:tcBorders>
                  <w:vAlign w:val="center"/>
                  <w:hideMark/>
                </w:tcPr>
                <w:p w14:paraId="62DE72C9"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Growth in</w:t>
                  </w:r>
                </w:p>
              </w:tc>
              <w:tc>
                <w:tcPr>
                  <w:tcW w:w="1134" w:type="dxa"/>
                  <w:tcBorders>
                    <w:top w:val="nil"/>
                    <w:left w:val="single" w:sz="4" w:space="0" w:color="auto"/>
                    <w:bottom w:val="nil"/>
                    <w:right w:val="single" w:sz="4" w:space="0" w:color="auto"/>
                  </w:tcBorders>
                  <w:noWrap/>
                  <w:vAlign w:val="center"/>
                  <w:hideMark/>
                </w:tcPr>
                <w:p w14:paraId="0AE668C8"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of</w:t>
                  </w:r>
                </w:p>
              </w:tc>
            </w:tr>
            <w:tr w:rsidR="00D9556E" w:rsidRPr="00D9556E" w14:paraId="1471228F" w14:textId="77777777" w:rsidTr="00D9556E">
              <w:trPr>
                <w:trHeight w:val="70"/>
              </w:trPr>
              <w:tc>
                <w:tcPr>
                  <w:tcW w:w="1172" w:type="dxa"/>
                  <w:vMerge/>
                  <w:tcBorders>
                    <w:top w:val="single" w:sz="4" w:space="0" w:color="auto"/>
                    <w:left w:val="single" w:sz="4" w:space="0" w:color="auto"/>
                    <w:bottom w:val="single" w:sz="4" w:space="0" w:color="000000"/>
                    <w:right w:val="single" w:sz="4" w:space="0" w:color="auto"/>
                  </w:tcBorders>
                  <w:vAlign w:val="center"/>
                  <w:hideMark/>
                </w:tcPr>
                <w:p w14:paraId="119344F9"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p>
              </w:tc>
              <w:tc>
                <w:tcPr>
                  <w:tcW w:w="1339" w:type="dxa"/>
                  <w:vMerge/>
                  <w:tcBorders>
                    <w:top w:val="single" w:sz="4" w:space="0" w:color="auto"/>
                    <w:left w:val="single" w:sz="4" w:space="0" w:color="auto"/>
                    <w:bottom w:val="nil"/>
                    <w:right w:val="single" w:sz="4" w:space="0" w:color="auto"/>
                  </w:tcBorders>
                  <w:vAlign w:val="center"/>
                  <w:hideMark/>
                </w:tcPr>
                <w:p w14:paraId="59C9C9EA"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p>
              </w:tc>
              <w:tc>
                <w:tcPr>
                  <w:tcW w:w="1213" w:type="dxa"/>
                  <w:tcBorders>
                    <w:top w:val="nil"/>
                    <w:left w:val="nil"/>
                    <w:bottom w:val="nil"/>
                    <w:right w:val="single" w:sz="4" w:space="0" w:color="auto"/>
                  </w:tcBorders>
                  <w:noWrap/>
                  <w:vAlign w:val="center"/>
                  <w:hideMark/>
                </w:tcPr>
                <w:p w14:paraId="2D53FE76"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Exports</w:t>
                  </w:r>
                </w:p>
              </w:tc>
              <w:tc>
                <w:tcPr>
                  <w:tcW w:w="1339" w:type="dxa"/>
                  <w:vMerge/>
                  <w:tcBorders>
                    <w:top w:val="single" w:sz="4" w:space="0" w:color="auto"/>
                    <w:left w:val="single" w:sz="4" w:space="0" w:color="auto"/>
                    <w:bottom w:val="nil"/>
                    <w:right w:val="single" w:sz="4" w:space="0" w:color="auto"/>
                  </w:tcBorders>
                  <w:vAlign w:val="center"/>
                  <w:hideMark/>
                </w:tcPr>
                <w:p w14:paraId="0A55B04A"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p>
              </w:tc>
              <w:tc>
                <w:tcPr>
                  <w:tcW w:w="1496" w:type="dxa"/>
                  <w:gridSpan w:val="2"/>
                  <w:tcBorders>
                    <w:top w:val="nil"/>
                    <w:left w:val="nil"/>
                    <w:bottom w:val="nil"/>
                    <w:right w:val="single" w:sz="4" w:space="0" w:color="auto"/>
                  </w:tcBorders>
                  <w:noWrap/>
                  <w:vAlign w:val="center"/>
                  <w:hideMark/>
                </w:tcPr>
                <w:p w14:paraId="1458BBEF"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Imports</w:t>
                  </w:r>
                </w:p>
              </w:tc>
              <w:tc>
                <w:tcPr>
                  <w:tcW w:w="1275" w:type="dxa"/>
                  <w:gridSpan w:val="3"/>
                  <w:tcBorders>
                    <w:top w:val="nil"/>
                    <w:left w:val="nil"/>
                    <w:bottom w:val="nil"/>
                    <w:right w:val="single" w:sz="4" w:space="0" w:color="auto"/>
                  </w:tcBorders>
                  <w:noWrap/>
                  <w:vAlign w:val="center"/>
                  <w:hideMark/>
                </w:tcPr>
                <w:p w14:paraId="2B2E8A61"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Trade</w:t>
                  </w:r>
                </w:p>
              </w:tc>
              <w:tc>
                <w:tcPr>
                  <w:tcW w:w="1418" w:type="dxa"/>
                  <w:tcBorders>
                    <w:top w:val="nil"/>
                    <w:left w:val="nil"/>
                    <w:bottom w:val="nil"/>
                    <w:right w:val="nil"/>
                  </w:tcBorders>
                  <w:vAlign w:val="center"/>
                  <w:hideMark/>
                </w:tcPr>
                <w:p w14:paraId="337F7AD0"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Vol. of Trade</w:t>
                  </w:r>
                </w:p>
              </w:tc>
              <w:tc>
                <w:tcPr>
                  <w:tcW w:w="1134" w:type="dxa"/>
                  <w:tcBorders>
                    <w:top w:val="nil"/>
                    <w:left w:val="single" w:sz="4" w:space="0" w:color="auto"/>
                    <w:bottom w:val="nil"/>
                    <w:right w:val="single" w:sz="4" w:space="0" w:color="auto"/>
                  </w:tcBorders>
                  <w:noWrap/>
                  <w:vAlign w:val="center"/>
                  <w:hideMark/>
                </w:tcPr>
                <w:p w14:paraId="3C9753A8"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Trade</w:t>
                  </w:r>
                </w:p>
              </w:tc>
            </w:tr>
            <w:tr w:rsidR="00D9556E" w:rsidRPr="00D9556E" w14:paraId="0DE2A963" w14:textId="77777777" w:rsidTr="00D9556E">
              <w:trPr>
                <w:trHeight w:val="375"/>
              </w:trPr>
              <w:tc>
                <w:tcPr>
                  <w:tcW w:w="1172" w:type="dxa"/>
                  <w:tcBorders>
                    <w:top w:val="nil"/>
                    <w:left w:val="single" w:sz="4" w:space="0" w:color="auto"/>
                    <w:bottom w:val="single" w:sz="4" w:space="0" w:color="auto"/>
                    <w:right w:val="single" w:sz="4" w:space="0" w:color="auto"/>
                  </w:tcBorders>
                  <w:noWrap/>
                  <w:vAlign w:val="center"/>
                  <w:hideMark/>
                </w:tcPr>
                <w:p w14:paraId="53478936"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2020-21</w:t>
                  </w:r>
                </w:p>
              </w:tc>
              <w:tc>
                <w:tcPr>
                  <w:tcW w:w="1339" w:type="dxa"/>
                  <w:tcBorders>
                    <w:top w:val="single" w:sz="4" w:space="0" w:color="auto"/>
                    <w:left w:val="nil"/>
                    <w:bottom w:val="single" w:sz="4" w:space="0" w:color="auto"/>
                    <w:right w:val="single" w:sz="4" w:space="0" w:color="auto"/>
                  </w:tcBorders>
                  <w:noWrap/>
                  <w:vAlign w:val="center"/>
                  <w:hideMark/>
                </w:tcPr>
                <w:p w14:paraId="7A67BE78"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1231.34</w:t>
                  </w:r>
                </w:p>
              </w:tc>
              <w:tc>
                <w:tcPr>
                  <w:tcW w:w="1213" w:type="dxa"/>
                  <w:tcBorders>
                    <w:top w:val="single" w:sz="4" w:space="0" w:color="auto"/>
                    <w:left w:val="nil"/>
                    <w:bottom w:val="single" w:sz="4" w:space="0" w:color="auto"/>
                    <w:right w:val="single" w:sz="4" w:space="0" w:color="auto"/>
                  </w:tcBorders>
                  <w:noWrap/>
                  <w:vAlign w:val="center"/>
                  <w:hideMark/>
                </w:tcPr>
                <w:p w14:paraId="79030A56"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p>
              </w:tc>
              <w:tc>
                <w:tcPr>
                  <w:tcW w:w="1339" w:type="dxa"/>
                  <w:tcBorders>
                    <w:top w:val="single" w:sz="4" w:space="0" w:color="auto"/>
                    <w:left w:val="nil"/>
                    <w:bottom w:val="single" w:sz="4" w:space="0" w:color="auto"/>
                    <w:right w:val="single" w:sz="4" w:space="0" w:color="auto"/>
                  </w:tcBorders>
                  <w:noWrap/>
                  <w:vAlign w:val="center"/>
                  <w:hideMark/>
                </w:tcPr>
                <w:p w14:paraId="04B0721E"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631.60</w:t>
                  </w:r>
                </w:p>
              </w:tc>
              <w:tc>
                <w:tcPr>
                  <w:tcW w:w="1496" w:type="dxa"/>
                  <w:gridSpan w:val="2"/>
                  <w:tcBorders>
                    <w:top w:val="single" w:sz="4" w:space="0" w:color="auto"/>
                    <w:left w:val="nil"/>
                    <w:bottom w:val="single" w:sz="4" w:space="0" w:color="auto"/>
                    <w:right w:val="single" w:sz="4" w:space="0" w:color="auto"/>
                  </w:tcBorders>
                  <w:noWrap/>
                  <w:vAlign w:val="center"/>
                  <w:hideMark/>
                </w:tcPr>
                <w:p w14:paraId="00169988"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p>
              </w:tc>
              <w:tc>
                <w:tcPr>
                  <w:tcW w:w="1275" w:type="dxa"/>
                  <w:gridSpan w:val="3"/>
                  <w:tcBorders>
                    <w:top w:val="single" w:sz="4" w:space="0" w:color="auto"/>
                    <w:left w:val="nil"/>
                    <w:bottom w:val="single" w:sz="4" w:space="0" w:color="auto"/>
                    <w:right w:val="single" w:sz="4" w:space="0" w:color="auto"/>
                  </w:tcBorders>
                  <w:noWrap/>
                  <w:vAlign w:val="center"/>
                  <w:hideMark/>
                </w:tcPr>
                <w:p w14:paraId="7E0CA575" w14:textId="40F5A20A"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1862.9</w:t>
                  </w:r>
                  <w:r w:rsidR="007A5E3E">
                    <w:rPr>
                      <w:rFonts w:ascii="Times New Roman" w:eastAsia="Times New Roman" w:hAnsi="Times New Roman" w:cs="Times New Roman"/>
                      <w:sz w:val="20"/>
                      <w:szCs w:val="20"/>
                      <w:lang w:eastAsia="en-IN" w:bidi="bn-IN"/>
                    </w:rPr>
                    <w:t>4</w:t>
                  </w:r>
                </w:p>
              </w:tc>
              <w:tc>
                <w:tcPr>
                  <w:tcW w:w="1418" w:type="dxa"/>
                  <w:tcBorders>
                    <w:top w:val="single" w:sz="4" w:space="0" w:color="auto"/>
                    <w:left w:val="nil"/>
                    <w:bottom w:val="single" w:sz="4" w:space="0" w:color="auto"/>
                    <w:right w:val="single" w:sz="4" w:space="0" w:color="auto"/>
                  </w:tcBorders>
                  <w:noWrap/>
                  <w:vAlign w:val="center"/>
                  <w:hideMark/>
                </w:tcPr>
                <w:p w14:paraId="46347C68"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p>
              </w:tc>
              <w:tc>
                <w:tcPr>
                  <w:tcW w:w="1134" w:type="dxa"/>
                  <w:tcBorders>
                    <w:top w:val="single" w:sz="4" w:space="0" w:color="auto"/>
                    <w:left w:val="nil"/>
                    <w:bottom w:val="single" w:sz="4" w:space="0" w:color="auto"/>
                    <w:right w:val="single" w:sz="4" w:space="0" w:color="auto"/>
                  </w:tcBorders>
                  <w:noWrap/>
                  <w:vAlign w:val="center"/>
                  <w:hideMark/>
                </w:tcPr>
                <w:p w14:paraId="66956F7B"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599.74</w:t>
                  </w:r>
                </w:p>
              </w:tc>
            </w:tr>
            <w:tr w:rsidR="00D9556E" w:rsidRPr="00D9556E" w14:paraId="1534990F" w14:textId="77777777" w:rsidTr="00D9556E">
              <w:trPr>
                <w:trHeight w:val="375"/>
              </w:trPr>
              <w:tc>
                <w:tcPr>
                  <w:tcW w:w="1172" w:type="dxa"/>
                  <w:tcBorders>
                    <w:top w:val="nil"/>
                    <w:left w:val="single" w:sz="4" w:space="0" w:color="auto"/>
                    <w:bottom w:val="single" w:sz="4" w:space="0" w:color="auto"/>
                    <w:right w:val="single" w:sz="4" w:space="0" w:color="auto"/>
                  </w:tcBorders>
                  <w:noWrap/>
                  <w:vAlign w:val="center"/>
                  <w:hideMark/>
                </w:tcPr>
                <w:p w14:paraId="4B88FD6D"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2021-22</w:t>
                  </w:r>
                </w:p>
              </w:tc>
              <w:tc>
                <w:tcPr>
                  <w:tcW w:w="1339" w:type="dxa"/>
                  <w:tcBorders>
                    <w:top w:val="nil"/>
                    <w:left w:val="nil"/>
                    <w:bottom w:val="single" w:sz="4" w:space="0" w:color="auto"/>
                    <w:right w:val="single" w:sz="4" w:space="0" w:color="auto"/>
                  </w:tcBorders>
                  <w:noWrap/>
                  <w:vAlign w:val="center"/>
                  <w:hideMark/>
                </w:tcPr>
                <w:p w14:paraId="616F1CDB"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1975.76</w:t>
                  </w:r>
                </w:p>
              </w:tc>
              <w:tc>
                <w:tcPr>
                  <w:tcW w:w="1213" w:type="dxa"/>
                  <w:tcBorders>
                    <w:top w:val="nil"/>
                    <w:left w:val="nil"/>
                    <w:bottom w:val="single" w:sz="4" w:space="0" w:color="auto"/>
                    <w:right w:val="single" w:sz="4" w:space="0" w:color="auto"/>
                  </w:tcBorders>
                  <w:noWrap/>
                  <w:vAlign w:val="center"/>
                  <w:hideMark/>
                </w:tcPr>
                <w:p w14:paraId="7EB2EABA"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60.46</w:t>
                  </w:r>
                </w:p>
              </w:tc>
              <w:tc>
                <w:tcPr>
                  <w:tcW w:w="1339" w:type="dxa"/>
                  <w:tcBorders>
                    <w:top w:val="nil"/>
                    <w:left w:val="nil"/>
                    <w:bottom w:val="single" w:sz="4" w:space="0" w:color="auto"/>
                    <w:right w:val="single" w:sz="4" w:space="0" w:color="auto"/>
                  </w:tcBorders>
                  <w:noWrap/>
                  <w:vAlign w:val="center"/>
                  <w:hideMark/>
                </w:tcPr>
                <w:p w14:paraId="30E3D45D"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1879.49</w:t>
                  </w:r>
                </w:p>
              </w:tc>
              <w:tc>
                <w:tcPr>
                  <w:tcW w:w="1496" w:type="dxa"/>
                  <w:gridSpan w:val="2"/>
                  <w:tcBorders>
                    <w:top w:val="nil"/>
                    <w:left w:val="nil"/>
                    <w:bottom w:val="single" w:sz="4" w:space="0" w:color="auto"/>
                    <w:right w:val="single" w:sz="4" w:space="0" w:color="auto"/>
                  </w:tcBorders>
                  <w:noWrap/>
                  <w:vAlign w:val="center"/>
                  <w:hideMark/>
                </w:tcPr>
                <w:p w14:paraId="2F56B1C1"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197.58</w:t>
                  </w:r>
                </w:p>
              </w:tc>
              <w:tc>
                <w:tcPr>
                  <w:tcW w:w="1275" w:type="dxa"/>
                  <w:gridSpan w:val="3"/>
                  <w:tcBorders>
                    <w:top w:val="nil"/>
                    <w:left w:val="nil"/>
                    <w:bottom w:val="single" w:sz="4" w:space="0" w:color="auto"/>
                    <w:right w:val="single" w:sz="4" w:space="0" w:color="auto"/>
                  </w:tcBorders>
                  <w:noWrap/>
                  <w:vAlign w:val="center"/>
                  <w:hideMark/>
                </w:tcPr>
                <w:p w14:paraId="2BEDF4E8"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3855.25</w:t>
                  </w:r>
                </w:p>
              </w:tc>
              <w:tc>
                <w:tcPr>
                  <w:tcW w:w="1418" w:type="dxa"/>
                  <w:tcBorders>
                    <w:top w:val="nil"/>
                    <w:left w:val="nil"/>
                    <w:bottom w:val="single" w:sz="4" w:space="0" w:color="auto"/>
                    <w:right w:val="single" w:sz="4" w:space="0" w:color="auto"/>
                  </w:tcBorders>
                  <w:noWrap/>
                  <w:vAlign w:val="center"/>
                  <w:hideMark/>
                </w:tcPr>
                <w:p w14:paraId="62D9402C"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106.94</w:t>
                  </w:r>
                </w:p>
              </w:tc>
              <w:tc>
                <w:tcPr>
                  <w:tcW w:w="1134" w:type="dxa"/>
                  <w:tcBorders>
                    <w:top w:val="nil"/>
                    <w:left w:val="nil"/>
                    <w:bottom w:val="single" w:sz="4" w:space="0" w:color="auto"/>
                    <w:right w:val="single" w:sz="4" w:space="0" w:color="auto"/>
                  </w:tcBorders>
                  <w:noWrap/>
                  <w:vAlign w:val="center"/>
                  <w:hideMark/>
                </w:tcPr>
                <w:p w14:paraId="437FB44C"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96.27</w:t>
                  </w:r>
                </w:p>
              </w:tc>
            </w:tr>
            <w:tr w:rsidR="00D9556E" w:rsidRPr="00D9556E" w14:paraId="39B4FC95" w14:textId="77777777" w:rsidTr="00D9556E">
              <w:trPr>
                <w:trHeight w:val="375"/>
              </w:trPr>
              <w:tc>
                <w:tcPr>
                  <w:tcW w:w="1172" w:type="dxa"/>
                  <w:tcBorders>
                    <w:top w:val="nil"/>
                    <w:left w:val="single" w:sz="4" w:space="0" w:color="auto"/>
                    <w:bottom w:val="single" w:sz="4" w:space="0" w:color="auto"/>
                    <w:right w:val="single" w:sz="4" w:space="0" w:color="auto"/>
                  </w:tcBorders>
                  <w:noWrap/>
                  <w:vAlign w:val="center"/>
                  <w:hideMark/>
                </w:tcPr>
                <w:p w14:paraId="1DE098F0"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2022-23</w:t>
                  </w:r>
                </w:p>
              </w:tc>
              <w:tc>
                <w:tcPr>
                  <w:tcW w:w="1339" w:type="dxa"/>
                  <w:tcBorders>
                    <w:top w:val="nil"/>
                    <w:left w:val="nil"/>
                    <w:bottom w:val="single" w:sz="4" w:space="0" w:color="auto"/>
                    <w:right w:val="single" w:sz="4" w:space="0" w:color="auto"/>
                  </w:tcBorders>
                  <w:noWrap/>
                  <w:vAlign w:val="center"/>
                  <w:hideMark/>
                </w:tcPr>
                <w:p w14:paraId="4C57E369"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2506.47</w:t>
                  </w:r>
                </w:p>
              </w:tc>
              <w:tc>
                <w:tcPr>
                  <w:tcW w:w="1213" w:type="dxa"/>
                  <w:tcBorders>
                    <w:top w:val="nil"/>
                    <w:left w:val="nil"/>
                    <w:bottom w:val="single" w:sz="4" w:space="0" w:color="auto"/>
                    <w:right w:val="single" w:sz="4" w:space="0" w:color="auto"/>
                  </w:tcBorders>
                  <w:noWrap/>
                  <w:vAlign w:val="center"/>
                  <w:hideMark/>
                </w:tcPr>
                <w:p w14:paraId="62BC2422"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26.86</w:t>
                  </w:r>
                </w:p>
              </w:tc>
              <w:tc>
                <w:tcPr>
                  <w:tcW w:w="1339" w:type="dxa"/>
                  <w:tcBorders>
                    <w:top w:val="nil"/>
                    <w:left w:val="nil"/>
                    <w:bottom w:val="single" w:sz="4" w:space="0" w:color="auto"/>
                    <w:right w:val="single" w:sz="4" w:space="0" w:color="auto"/>
                  </w:tcBorders>
                  <w:noWrap/>
                  <w:vAlign w:val="center"/>
                  <w:hideMark/>
                </w:tcPr>
                <w:p w14:paraId="66C32941"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2521.96</w:t>
                  </w:r>
                </w:p>
              </w:tc>
              <w:tc>
                <w:tcPr>
                  <w:tcW w:w="1496" w:type="dxa"/>
                  <w:gridSpan w:val="2"/>
                  <w:tcBorders>
                    <w:top w:val="nil"/>
                    <w:left w:val="nil"/>
                    <w:bottom w:val="single" w:sz="4" w:space="0" w:color="auto"/>
                    <w:right w:val="single" w:sz="4" w:space="0" w:color="auto"/>
                  </w:tcBorders>
                  <w:noWrap/>
                  <w:vAlign w:val="center"/>
                  <w:hideMark/>
                </w:tcPr>
                <w:p w14:paraId="68129AF2"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34.18</w:t>
                  </w:r>
                </w:p>
              </w:tc>
              <w:tc>
                <w:tcPr>
                  <w:tcW w:w="1275" w:type="dxa"/>
                  <w:gridSpan w:val="3"/>
                  <w:tcBorders>
                    <w:top w:val="nil"/>
                    <w:left w:val="nil"/>
                    <w:bottom w:val="single" w:sz="4" w:space="0" w:color="auto"/>
                    <w:right w:val="single" w:sz="4" w:space="0" w:color="auto"/>
                  </w:tcBorders>
                  <w:noWrap/>
                  <w:vAlign w:val="center"/>
                  <w:hideMark/>
                </w:tcPr>
                <w:p w14:paraId="2CCF2B2E"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5028.43</w:t>
                  </w:r>
                </w:p>
              </w:tc>
              <w:tc>
                <w:tcPr>
                  <w:tcW w:w="1418" w:type="dxa"/>
                  <w:tcBorders>
                    <w:top w:val="nil"/>
                    <w:left w:val="nil"/>
                    <w:bottom w:val="single" w:sz="4" w:space="0" w:color="auto"/>
                    <w:right w:val="single" w:sz="4" w:space="0" w:color="auto"/>
                  </w:tcBorders>
                  <w:noWrap/>
                  <w:vAlign w:val="center"/>
                  <w:hideMark/>
                </w:tcPr>
                <w:p w14:paraId="22B84174"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30.43</w:t>
                  </w:r>
                </w:p>
              </w:tc>
              <w:tc>
                <w:tcPr>
                  <w:tcW w:w="1134" w:type="dxa"/>
                  <w:tcBorders>
                    <w:top w:val="nil"/>
                    <w:left w:val="nil"/>
                    <w:bottom w:val="single" w:sz="4" w:space="0" w:color="auto"/>
                    <w:right w:val="single" w:sz="4" w:space="0" w:color="auto"/>
                  </w:tcBorders>
                  <w:noWrap/>
                  <w:vAlign w:val="center"/>
                  <w:hideMark/>
                </w:tcPr>
                <w:p w14:paraId="11B3CC65"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-15.49</w:t>
                  </w:r>
                </w:p>
              </w:tc>
            </w:tr>
            <w:tr w:rsidR="00D9556E" w:rsidRPr="00D9556E" w14:paraId="5EB321C1" w14:textId="77777777" w:rsidTr="00D9556E">
              <w:trPr>
                <w:trHeight w:val="375"/>
              </w:trPr>
              <w:tc>
                <w:tcPr>
                  <w:tcW w:w="1172" w:type="dxa"/>
                  <w:tcBorders>
                    <w:top w:val="nil"/>
                    <w:left w:val="single" w:sz="4" w:space="0" w:color="auto"/>
                    <w:bottom w:val="single" w:sz="4" w:space="0" w:color="auto"/>
                    <w:right w:val="single" w:sz="4" w:space="0" w:color="auto"/>
                  </w:tcBorders>
                  <w:noWrap/>
                  <w:vAlign w:val="center"/>
                  <w:hideMark/>
                </w:tcPr>
                <w:p w14:paraId="6F4ABB50"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2023-24</w:t>
                  </w:r>
                </w:p>
              </w:tc>
              <w:tc>
                <w:tcPr>
                  <w:tcW w:w="1339" w:type="dxa"/>
                  <w:tcBorders>
                    <w:top w:val="nil"/>
                    <w:left w:val="nil"/>
                    <w:bottom w:val="single" w:sz="4" w:space="0" w:color="auto"/>
                    <w:right w:val="single" w:sz="4" w:space="0" w:color="auto"/>
                  </w:tcBorders>
                  <w:noWrap/>
                  <w:vAlign w:val="center"/>
                  <w:hideMark/>
                </w:tcPr>
                <w:p w14:paraId="2100EE71"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1996.00</w:t>
                  </w:r>
                </w:p>
              </w:tc>
              <w:tc>
                <w:tcPr>
                  <w:tcW w:w="1213" w:type="dxa"/>
                  <w:tcBorders>
                    <w:top w:val="nil"/>
                    <w:left w:val="nil"/>
                    <w:bottom w:val="single" w:sz="4" w:space="0" w:color="auto"/>
                    <w:right w:val="single" w:sz="4" w:space="0" w:color="auto"/>
                  </w:tcBorders>
                  <w:noWrap/>
                  <w:vAlign w:val="center"/>
                  <w:hideMark/>
                </w:tcPr>
                <w:p w14:paraId="3BC81AA0"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-20.37</w:t>
                  </w:r>
                </w:p>
              </w:tc>
              <w:tc>
                <w:tcPr>
                  <w:tcW w:w="1339" w:type="dxa"/>
                  <w:tcBorders>
                    <w:top w:val="nil"/>
                    <w:left w:val="nil"/>
                    <w:bottom w:val="single" w:sz="4" w:space="0" w:color="auto"/>
                    <w:right w:val="single" w:sz="4" w:space="0" w:color="auto"/>
                  </w:tcBorders>
                  <w:noWrap/>
                  <w:vAlign w:val="center"/>
                  <w:hideMark/>
                </w:tcPr>
                <w:p w14:paraId="06B24119"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2419.11</w:t>
                  </w:r>
                </w:p>
              </w:tc>
              <w:tc>
                <w:tcPr>
                  <w:tcW w:w="1496" w:type="dxa"/>
                  <w:gridSpan w:val="2"/>
                  <w:tcBorders>
                    <w:top w:val="nil"/>
                    <w:left w:val="nil"/>
                    <w:bottom w:val="single" w:sz="4" w:space="0" w:color="auto"/>
                    <w:right w:val="single" w:sz="4" w:space="0" w:color="auto"/>
                  </w:tcBorders>
                  <w:noWrap/>
                  <w:vAlign w:val="center"/>
                  <w:hideMark/>
                </w:tcPr>
                <w:p w14:paraId="7F780ECE"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-4.08</w:t>
                  </w:r>
                </w:p>
              </w:tc>
              <w:tc>
                <w:tcPr>
                  <w:tcW w:w="1275" w:type="dxa"/>
                  <w:gridSpan w:val="3"/>
                  <w:tcBorders>
                    <w:top w:val="nil"/>
                    <w:left w:val="nil"/>
                    <w:bottom w:val="single" w:sz="4" w:space="0" w:color="auto"/>
                    <w:right w:val="single" w:sz="4" w:space="0" w:color="auto"/>
                  </w:tcBorders>
                  <w:noWrap/>
                  <w:vAlign w:val="center"/>
                  <w:hideMark/>
                </w:tcPr>
                <w:p w14:paraId="3BDCF3EA" w14:textId="45D0F3D9"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4415.1</w:t>
                  </w:r>
                  <w:r w:rsidR="007A5E3E">
                    <w:rPr>
                      <w:rFonts w:ascii="Times New Roman" w:eastAsia="Times New Roman" w:hAnsi="Times New Roman" w:cs="Times New Roman"/>
                      <w:sz w:val="20"/>
                      <w:szCs w:val="20"/>
                      <w:lang w:eastAsia="en-IN" w:bidi="bn-IN"/>
                    </w:rPr>
                    <w:t>2</w:t>
                  </w:r>
                </w:p>
              </w:tc>
              <w:tc>
                <w:tcPr>
                  <w:tcW w:w="1418" w:type="dxa"/>
                  <w:tcBorders>
                    <w:top w:val="nil"/>
                    <w:left w:val="nil"/>
                    <w:bottom w:val="single" w:sz="4" w:space="0" w:color="auto"/>
                    <w:right w:val="single" w:sz="4" w:space="0" w:color="auto"/>
                  </w:tcBorders>
                  <w:noWrap/>
                  <w:vAlign w:val="center"/>
                  <w:hideMark/>
                </w:tcPr>
                <w:p w14:paraId="2686343F"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-12.20</w:t>
                  </w:r>
                </w:p>
              </w:tc>
              <w:tc>
                <w:tcPr>
                  <w:tcW w:w="1134" w:type="dxa"/>
                  <w:tcBorders>
                    <w:top w:val="nil"/>
                    <w:left w:val="nil"/>
                    <w:bottom w:val="single" w:sz="4" w:space="0" w:color="auto"/>
                    <w:right w:val="single" w:sz="4" w:space="0" w:color="auto"/>
                  </w:tcBorders>
                  <w:noWrap/>
                  <w:vAlign w:val="center"/>
                  <w:hideMark/>
                </w:tcPr>
                <w:p w14:paraId="058F1F5F"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-423.11</w:t>
                  </w:r>
                </w:p>
              </w:tc>
            </w:tr>
            <w:tr w:rsidR="00D9556E" w:rsidRPr="00D9556E" w14:paraId="4C5026E8" w14:textId="77777777" w:rsidTr="00D9556E">
              <w:trPr>
                <w:trHeight w:val="375"/>
              </w:trPr>
              <w:tc>
                <w:tcPr>
                  <w:tcW w:w="1172" w:type="dxa"/>
                  <w:tcBorders>
                    <w:top w:val="nil"/>
                    <w:left w:val="single" w:sz="4" w:space="0" w:color="auto"/>
                    <w:bottom w:val="single" w:sz="4" w:space="0" w:color="auto"/>
                    <w:right w:val="single" w:sz="4" w:space="0" w:color="auto"/>
                  </w:tcBorders>
                  <w:noWrap/>
                  <w:vAlign w:val="center"/>
                  <w:hideMark/>
                </w:tcPr>
                <w:p w14:paraId="1922C354"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2024-25</w:t>
                  </w:r>
                </w:p>
              </w:tc>
              <w:tc>
                <w:tcPr>
                  <w:tcW w:w="1339" w:type="dxa"/>
                  <w:tcBorders>
                    <w:top w:val="nil"/>
                    <w:left w:val="nil"/>
                    <w:bottom w:val="single" w:sz="4" w:space="0" w:color="auto"/>
                    <w:right w:val="single" w:sz="4" w:space="0" w:color="auto"/>
                  </w:tcBorders>
                  <w:noWrap/>
                  <w:vAlign w:val="center"/>
                  <w:hideMark/>
                </w:tcPr>
                <w:p w14:paraId="65AC3BAA"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1323.39</w:t>
                  </w:r>
                </w:p>
              </w:tc>
              <w:tc>
                <w:tcPr>
                  <w:tcW w:w="1213" w:type="dxa"/>
                  <w:tcBorders>
                    <w:top w:val="nil"/>
                    <w:left w:val="nil"/>
                    <w:bottom w:val="single" w:sz="4" w:space="0" w:color="auto"/>
                    <w:right w:val="single" w:sz="4" w:space="0" w:color="auto"/>
                  </w:tcBorders>
                  <w:noWrap/>
                  <w:vAlign w:val="center"/>
                  <w:hideMark/>
                </w:tcPr>
                <w:p w14:paraId="1B79D3E8"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-33.70</w:t>
                  </w:r>
                </w:p>
              </w:tc>
              <w:tc>
                <w:tcPr>
                  <w:tcW w:w="1339" w:type="dxa"/>
                  <w:tcBorders>
                    <w:top w:val="nil"/>
                    <w:left w:val="nil"/>
                    <w:bottom w:val="single" w:sz="4" w:space="0" w:color="auto"/>
                    <w:right w:val="single" w:sz="4" w:space="0" w:color="auto"/>
                  </w:tcBorders>
                  <w:noWrap/>
                  <w:vAlign w:val="center"/>
                  <w:hideMark/>
                </w:tcPr>
                <w:p w14:paraId="2BC33B62"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2097.24</w:t>
                  </w:r>
                </w:p>
              </w:tc>
              <w:tc>
                <w:tcPr>
                  <w:tcW w:w="1496" w:type="dxa"/>
                  <w:gridSpan w:val="2"/>
                  <w:tcBorders>
                    <w:top w:val="nil"/>
                    <w:left w:val="nil"/>
                    <w:bottom w:val="single" w:sz="4" w:space="0" w:color="auto"/>
                    <w:right w:val="single" w:sz="4" w:space="0" w:color="auto"/>
                  </w:tcBorders>
                  <w:noWrap/>
                  <w:vAlign w:val="center"/>
                  <w:hideMark/>
                </w:tcPr>
                <w:p w14:paraId="7BC9D8BE"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-13.31</w:t>
                  </w:r>
                </w:p>
              </w:tc>
              <w:tc>
                <w:tcPr>
                  <w:tcW w:w="1275" w:type="dxa"/>
                  <w:gridSpan w:val="3"/>
                  <w:tcBorders>
                    <w:top w:val="nil"/>
                    <w:left w:val="nil"/>
                    <w:bottom w:val="single" w:sz="4" w:space="0" w:color="auto"/>
                    <w:right w:val="single" w:sz="4" w:space="0" w:color="auto"/>
                  </w:tcBorders>
                  <w:noWrap/>
                  <w:vAlign w:val="center"/>
                  <w:hideMark/>
                </w:tcPr>
                <w:p w14:paraId="098CEF6E"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3420.63</w:t>
                  </w:r>
                </w:p>
              </w:tc>
              <w:tc>
                <w:tcPr>
                  <w:tcW w:w="1418" w:type="dxa"/>
                  <w:tcBorders>
                    <w:top w:val="nil"/>
                    <w:left w:val="nil"/>
                    <w:bottom w:val="single" w:sz="4" w:space="0" w:color="auto"/>
                    <w:right w:val="single" w:sz="4" w:space="0" w:color="auto"/>
                  </w:tcBorders>
                  <w:noWrap/>
                  <w:vAlign w:val="center"/>
                  <w:hideMark/>
                </w:tcPr>
                <w:p w14:paraId="7ECA12EB"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-22.52</w:t>
                  </w:r>
                </w:p>
              </w:tc>
              <w:tc>
                <w:tcPr>
                  <w:tcW w:w="1134" w:type="dxa"/>
                  <w:tcBorders>
                    <w:top w:val="nil"/>
                    <w:left w:val="nil"/>
                    <w:bottom w:val="single" w:sz="4" w:space="0" w:color="auto"/>
                    <w:right w:val="single" w:sz="4" w:space="0" w:color="auto"/>
                  </w:tcBorders>
                  <w:noWrap/>
                  <w:vAlign w:val="center"/>
                  <w:hideMark/>
                </w:tcPr>
                <w:p w14:paraId="2944B7E9" w14:textId="77777777" w:rsidR="00D9556E" w:rsidRPr="00D9556E" w:rsidRDefault="00D9556E" w:rsidP="00D9556E">
                  <w:pPr>
                    <w:spacing w:after="0" w:line="240" w:lineRule="auto"/>
                    <w:jc w:val="center"/>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-773.85</w:t>
                  </w:r>
                </w:p>
              </w:tc>
            </w:tr>
            <w:tr w:rsidR="00D9556E" w:rsidRPr="00D9556E" w14:paraId="1F58AF88" w14:textId="77777777" w:rsidTr="00D9556E">
              <w:trPr>
                <w:trHeight w:val="116"/>
              </w:trPr>
              <w:tc>
                <w:tcPr>
                  <w:tcW w:w="1172" w:type="dxa"/>
                  <w:tcBorders>
                    <w:top w:val="nil"/>
                    <w:left w:val="nil"/>
                    <w:bottom w:val="nil"/>
                    <w:right w:val="nil"/>
                  </w:tcBorders>
                  <w:noWrap/>
                  <w:vAlign w:val="bottom"/>
                  <w:hideMark/>
                </w:tcPr>
                <w:p w14:paraId="39F17423"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Annual</w:t>
                  </w:r>
                </w:p>
              </w:tc>
              <w:tc>
                <w:tcPr>
                  <w:tcW w:w="1339" w:type="dxa"/>
                  <w:tcBorders>
                    <w:top w:val="nil"/>
                    <w:left w:val="nil"/>
                    <w:bottom w:val="nil"/>
                    <w:right w:val="nil"/>
                  </w:tcBorders>
                  <w:noWrap/>
                  <w:vAlign w:val="bottom"/>
                  <w:hideMark/>
                </w:tcPr>
                <w:p w14:paraId="7F014518" w14:textId="77777777" w:rsidR="00D9556E" w:rsidRPr="00D9556E" w:rsidRDefault="00D9556E" w:rsidP="00D9556E">
                  <w:pPr>
                    <w:spacing w:after="0" w:line="240" w:lineRule="auto"/>
                    <w:rPr>
                      <w:rFonts w:ascii="Times New Roman" w:eastAsia="Times New Roman" w:hAnsi="Times New Roman" w:cs="Times New Roman"/>
                      <w:sz w:val="20"/>
                      <w:szCs w:val="20"/>
                      <w:lang w:eastAsia="en-IN" w:bidi="bn-IN"/>
                    </w:rPr>
                  </w:pPr>
                </w:p>
              </w:tc>
              <w:tc>
                <w:tcPr>
                  <w:tcW w:w="1213" w:type="dxa"/>
                  <w:tcBorders>
                    <w:top w:val="nil"/>
                    <w:left w:val="nil"/>
                    <w:bottom w:val="nil"/>
                    <w:right w:val="nil"/>
                  </w:tcBorders>
                  <w:noWrap/>
                  <w:vAlign w:val="bottom"/>
                  <w:hideMark/>
                </w:tcPr>
                <w:p w14:paraId="6EC49683" w14:textId="77777777" w:rsidR="00D9556E" w:rsidRPr="00D9556E" w:rsidRDefault="00D9556E" w:rsidP="00D9556E">
                  <w:pPr>
                    <w:spacing w:after="0" w:line="240" w:lineRule="auto"/>
                    <w:rPr>
                      <w:rFonts w:ascii="Times New Roman" w:eastAsia="Times New Roman" w:hAnsi="Times New Roman" w:cs="Times New Roman"/>
                      <w:sz w:val="20"/>
                      <w:szCs w:val="20"/>
                      <w:lang w:eastAsia="en-IN" w:bidi="bn-IN"/>
                    </w:rPr>
                  </w:pPr>
                </w:p>
              </w:tc>
              <w:tc>
                <w:tcPr>
                  <w:tcW w:w="1339" w:type="dxa"/>
                  <w:tcBorders>
                    <w:top w:val="nil"/>
                    <w:left w:val="nil"/>
                    <w:bottom w:val="nil"/>
                    <w:right w:val="nil"/>
                  </w:tcBorders>
                  <w:noWrap/>
                  <w:vAlign w:val="bottom"/>
                  <w:hideMark/>
                </w:tcPr>
                <w:p w14:paraId="06CF15E8" w14:textId="77777777" w:rsidR="00D9556E" w:rsidRPr="00D9556E" w:rsidRDefault="00D9556E" w:rsidP="00D9556E">
                  <w:pPr>
                    <w:spacing w:after="0" w:line="240" w:lineRule="auto"/>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 </w:t>
                  </w:r>
                </w:p>
              </w:tc>
              <w:tc>
                <w:tcPr>
                  <w:tcW w:w="1496" w:type="dxa"/>
                  <w:gridSpan w:val="2"/>
                  <w:tcBorders>
                    <w:top w:val="nil"/>
                    <w:left w:val="nil"/>
                    <w:bottom w:val="nil"/>
                    <w:right w:val="nil"/>
                  </w:tcBorders>
                  <w:noWrap/>
                  <w:vAlign w:val="bottom"/>
                  <w:hideMark/>
                </w:tcPr>
                <w:p w14:paraId="51881190" w14:textId="77777777" w:rsidR="00D9556E" w:rsidRPr="00D9556E" w:rsidRDefault="00D9556E" w:rsidP="00D9556E">
                  <w:pPr>
                    <w:spacing w:after="0" w:line="240" w:lineRule="auto"/>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 </w:t>
                  </w:r>
                </w:p>
              </w:tc>
              <w:tc>
                <w:tcPr>
                  <w:tcW w:w="1275" w:type="dxa"/>
                  <w:gridSpan w:val="3"/>
                  <w:tcBorders>
                    <w:top w:val="nil"/>
                    <w:left w:val="nil"/>
                    <w:bottom w:val="nil"/>
                    <w:right w:val="nil"/>
                  </w:tcBorders>
                  <w:noWrap/>
                  <w:vAlign w:val="bottom"/>
                  <w:hideMark/>
                </w:tcPr>
                <w:p w14:paraId="6C16A890" w14:textId="77777777" w:rsidR="00D9556E" w:rsidRPr="00D9556E" w:rsidRDefault="00D9556E" w:rsidP="00D9556E">
                  <w:pPr>
                    <w:spacing w:after="0" w:line="240" w:lineRule="auto"/>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 </w:t>
                  </w:r>
                </w:p>
              </w:tc>
              <w:tc>
                <w:tcPr>
                  <w:tcW w:w="1418" w:type="dxa"/>
                  <w:tcBorders>
                    <w:top w:val="nil"/>
                    <w:left w:val="nil"/>
                    <w:bottom w:val="nil"/>
                    <w:right w:val="nil"/>
                  </w:tcBorders>
                  <w:noWrap/>
                  <w:vAlign w:val="bottom"/>
                  <w:hideMark/>
                </w:tcPr>
                <w:p w14:paraId="3C4D81B1" w14:textId="77777777" w:rsidR="00D9556E" w:rsidRPr="00D9556E" w:rsidRDefault="00D9556E" w:rsidP="00D9556E">
                  <w:pPr>
                    <w:spacing w:after="0" w:line="240" w:lineRule="auto"/>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 </w:t>
                  </w:r>
                </w:p>
              </w:tc>
              <w:tc>
                <w:tcPr>
                  <w:tcW w:w="1134" w:type="dxa"/>
                  <w:tcBorders>
                    <w:top w:val="nil"/>
                    <w:left w:val="nil"/>
                    <w:bottom w:val="nil"/>
                    <w:right w:val="nil"/>
                  </w:tcBorders>
                  <w:noWrap/>
                  <w:vAlign w:val="bottom"/>
                  <w:hideMark/>
                </w:tcPr>
                <w:p w14:paraId="04753401" w14:textId="77777777" w:rsidR="00D9556E" w:rsidRPr="00D9556E" w:rsidRDefault="00D9556E" w:rsidP="00D9556E">
                  <w:pPr>
                    <w:spacing w:after="0" w:line="240" w:lineRule="auto"/>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 </w:t>
                  </w:r>
                </w:p>
              </w:tc>
            </w:tr>
            <w:tr w:rsidR="00D9556E" w:rsidRPr="00D9556E" w14:paraId="54ACFFB9" w14:textId="77777777" w:rsidTr="00D9556E">
              <w:trPr>
                <w:trHeight w:val="80"/>
              </w:trPr>
              <w:tc>
                <w:tcPr>
                  <w:tcW w:w="1172" w:type="dxa"/>
                  <w:tcBorders>
                    <w:top w:val="nil"/>
                    <w:left w:val="nil"/>
                    <w:bottom w:val="nil"/>
                    <w:right w:val="nil"/>
                  </w:tcBorders>
                  <w:noWrap/>
                  <w:vAlign w:val="bottom"/>
                  <w:hideMark/>
                </w:tcPr>
                <w:p w14:paraId="2852AB7B" w14:textId="77777777" w:rsidR="00D9556E" w:rsidRPr="00D9556E" w:rsidRDefault="00D9556E" w:rsidP="00D9556E">
                  <w:pPr>
                    <w:spacing w:after="0" w:line="240" w:lineRule="auto"/>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Compound</w:t>
                  </w:r>
                </w:p>
              </w:tc>
              <w:tc>
                <w:tcPr>
                  <w:tcW w:w="1339" w:type="dxa"/>
                  <w:tcBorders>
                    <w:top w:val="nil"/>
                    <w:left w:val="nil"/>
                    <w:bottom w:val="nil"/>
                    <w:right w:val="nil"/>
                  </w:tcBorders>
                  <w:noWrap/>
                  <w:vAlign w:val="bottom"/>
                  <w:hideMark/>
                </w:tcPr>
                <w:p w14:paraId="06895492" w14:textId="77777777" w:rsidR="00D9556E" w:rsidRPr="00D9556E" w:rsidRDefault="00D9556E" w:rsidP="00D9556E">
                  <w:pPr>
                    <w:spacing w:after="0" w:line="240" w:lineRule="auto"/>
                    <w:rPr>
                      <w:rFonts w:ascii="Times New Roman" w:eastAsia="Times New Roman" w:hAnsi="Times New Roman" w:cs="Times New Roman"/>
                      <w:sz w:val="20"/>
                      <w:szCs w:val="20"/>
                      <w:lang w:eastAsia="en-IN" w:bidi="bn-IN"/>
                    </w:rPr>
                  </w:pPr>
                </w:p>
              </w:tc>
              <w:tc>
                <w:tcPr>
                  <w:tcW w:w="1213" w:type="dxa"/>
                  <w:tcBorders>
                    <w:top w:val="nil"/>
                    <w:left w:val="nil"/>
                    <w:bottom w:val="nil"/>
                    <w:right w:val="nil"/>
                  </w:tcBorders>
                  <w:noWrap/>
                  <w:vAlign w:val="bottom"/>
                  <w:hideMark/>
                </w:tcPr>
                <w:p w14:paraId="5D7E1212" w14:textId="77777777" w:rsidR="00D9556E" w:rsidRPr="00D9556E" w:rsidRDefault="00D9556E" w:rsidP="00D9556E">
                  <w:pPr>
                    <w:spacing w:after="0" w:line="240" w:lineRule="auto"/>
                    <w:rPr>
                      <w:rFonts w:ascii="Times New Roman" w:eastAsia="Times New Roman" w:hAnsi="Times New Roman" w:cs="Times New Roman"/>
                      <w:sz w:val="20"/>
                      <w:szCs w:val="20"/>
                      <w:lang w:eastAsia="en-IN" w:bidi="bn-IN"/>
                    </w:rPr>
                  </w:pPr>
                </w:p>
              </w:tc>
              <w:tc>
                <w:tcPr>
                  <w:tcW w:w="1339" w:type="dxa"/>
                  <w:tcBorders>
                    <w:top w:val="nil"/>
                    <w:left w:val="nil"/>
                    <w:bottom w:val="nil"/>
                    <w:right w:val="nil"/>
                  </w:tcBorders>
                  <w:noWrap/>
                  <w:vAlign w:val="bottom"/>
                  <w:hideMark/>
                </w:tcPr>
                <w:p w14:paraId="48881CBF" w14:textId="77777777" w:rsidR="00D9556E" w:rsidRPr="00D9556E" w:rsidRDefault="00D9556E" w:rsidP="00D9556E">
                  <w:pPr>
                    <w:spacing w:after="0" w:line="240" w:lineRule="auto"/>
                    <w:rPr>
                      <w:rFonts w:ascii="Times New Roman" w:eastAsia="Times New Roman" w:hAnsi="Times New Roman" w:cs="Times New Roman"/>
                      <w:sz w:val="20"/>
                      <w:szCs w:val="20"/>
                      <w:lang w:eastAsia="en-IN" w:bidi="bn-IN"/>
                    </w:rPr>
                  </w:pPr>
                </w:p>
              </w:tc>
              <w:tc>
                <w:tcPr>
                  <w:tcW w:w="1496" w:type="dxa"/>
                  <w:gridSpan w:val="2"/>
                  <w:tcBorders>
                    <w:top w:val="nil"/>
                    <w:left w:val="nil"/>
                    <w:bottom w:val="nil"/>
                    <w:right w:val="nil"/>
                  </w:tcBorders>
                  <w:noWrap/>
                  <w:vAlign w:val="bottom"/>
                  <w:hideMark/>
                </w:tcPr>
                <w:p w14:paraId="28C3ADEB" w14:textId="77777777" w:rsidR="00D9556E" w:rsidRPr="00D9556E" w:rsidRDefault="00D9556E" w:rsidP="00D9556E">
                  <w:pPr>
                    <w:spacing w:after="0" w:line="240" w:lineRule="auto"/>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 xml:space="preserve"> </w:t>
                  </w:r>
                </w:p>
              </w:tc>
              <w:tc>
                <w:tcPr>
                  <w:tcW w:w="1275" w:type="dxa"/>
                  <w:gridSpan w:val="3"/>
                  <w:tcBorders>
                    <w:top w:val="nil"/>
                    <w:left w:val="nil"/>
                    <w:bottom w:val="nil"/>
                    <w:right w:val="nil"/>
                  </w:tcBorders>
                  <w:noWrap/>
                  <w:vAlign w:val="bottom"/>
                  <w:hideMark/>
                </w:tcPr>
                <w:p w14:paraId="75F3E4BD" w14:textId="77777777" w:rsidR="00D9556E" w:rsidRPr="00D9556E" w:rsidRDefault="00D9556E" w:rsidP="00D9556E">
                  <w:pPr>
                    <w:spacing w:after="0" w:line="240" w:lineRule="auto"/>
                    <w:rPr>
                      <w:rFonts w:ascii="Times New Roman" w:eastAsia="Times New Roman" w:hAnsi="Times New Roman" w:cs="Times New Roman"/>
                      <w:sz w:val="20"/>
                      <w:szCs w:val="20"/>
                      <w:lang w:eastAsia="en-IN" w:bidi="bn-IN"/>
                    </w:rPr>
                  </w:pPr>
                </w:p>
              </w:tc>
              <w:tc>
                <w:tcPr>
                  <w:tcW w:w="1418" w:type="dxa"/>
                  <w:tcBorders>
                    <w:top w:val="nil"/>
                    <w:left w:val="nil"/>
                    <w:bottom w:val="nil"/>
                    <w:right w:val="nil"/>
                  </w:tcBorders>
                  <w:noWrap/>
                  <w:vAlign w:val="bottom"/>
                  <w:hideMark/>
                </w:tcPr>
                <w:p w14:paraId="289B14BB" w14:textId="77777777" w:rsidR="00D9556E" w:rsidRPr="00D9556E" w:rsidRDefault="00D9556E" w:rsidP="00D9556E">
                  <w:pPr>
                    <w:spacing w:after="0" w:line="240" w:lineRule="auto"/>
                    <w:rPr>
                      <w:rFonts w:ascii="Times New Roman" w:eastAsia="Times New Roman" w:hAnsi="Times New Roman" w:cs="Times New Roman"/>
                      <w:sz w:val="20"/>
                      <w:szCs w:val="20"/>
                      <w:lang w:eastAsia="en-IN" w:bidi="bn-IN"/>
                    </w:rPr>
                  </w:pPr>
                </w:p>
              </w:tc>
              <w:tc>
                <w:tcPr>
                  <w:tcW w:w="1134" w:type="dxa"/>
                  <w:tcBorders>
                    <w:top w:val="nil"/>
                    <w:left w:val="nil"/>
                    <w:bottom w:val="nil"/>
                    <w:right w:val="nil"/>
                  </w:tcBorders>
                  <w:noWrap/>
                  <w:vAlign w:val="bottom"/>
                  <w:hideMark/>
                </w:tcPr>
                <w:p w14:paraId="60771D54" w14:textId="77777777" w:rsidR="00D9556E" w:rsidRPr="00D9556E" w:rsidRDefault="00D9556E" w:rsidP="00D9556E">
                  <w:pPr>
                    <w:spacing w:after="0" w:line="240" w:lineRule="auto"/>
                    <w:rPr>
                      <w:rFonts w:ascii="Times New Roman" w:eastAsia="Times New Roman" w:hAnsi="Times New Roman" w:cs="Times New Roman"/>
                      <w:sz w:val="20"/>
                      <w:szCs w:val="20"/>
                      <w:lang w:eastAsia="en-IN" w:bidi="bn-IN"/>
                    </w:rPr>
                  </w:pPr>
                </w:p>
              </w:tc>
            </w:tr>
            <w:tr w:rsidR="00D9556E" w:rsidRPr="00D9556E" w14:paraId="60FCC3E0" w14:textId="77777777" w:rsidTr="00D9556E">
              <w:trPr>
                <w:trHeight w:val="80"/>
              </w:trPr>
              <w:tc>
                <w:tcPr>
                  <w:tcW w:w="1172" w:type="dxa"/>
                  <w:tcBorders>
                    <w:top w:val="nil"/>
                    <w:left w:val="nil"/>
                    <w:bottom w:val="single" w:sz="4" w:space="0" w:color="auto"/>
                    <w:right w:val="nil"/>
                  </w:tcBorders>
                  <w:noWrap/>
                  <w:vAlign w:val="bottom"/>
                  <w:hideMark/>
                </w:tcPr>
                <w:p w14:paraId="0BDB3EBE"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Growth Rate</w:t>
                  </w:r>
                </w:p>
              </w:tc>
              <w:tc>
                <w:tcPr>
                  <w:tcW w:w="1339" w:type="dxa"/>
                  <w:tcBorders>
                    <w:top w:val="nil"/>
                    <w:left w:val="nil"/>
                    <w:bottom w:val="single" w:sz="4" w:space="0" w:color="auto"/>
                    <w:right w:val="nil"/>
                  </w:tcBorders>
                  <w:noWrap/>
                  <w:vAlign w:val="bottom"/>
                  <w:hideMark/>
                </w:tcPr>
                <w:p w14:paraId="7502AD07"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 </w:t>
                  </w:r>
                </w:p>
              </w:tc>
              <w:tc>
                <w:tcPr>
                  <w:tcW w:w="1213" w:type="dxa"/>
                  <w:tcBorders>
                    <w:top w:val="nil"/>
                    <w:left w:val="nil"/>
                    <w:bottom w:val="single" w:sz="4" w:space="0" w:color="auto"/>
                    <w:right w:val="nil"/>
                  </w:tcBorders>
                  <w:noWrap/>
                  <w:vAlign w:val="bottom"/>
                  <w:hideMark/>
                </w:tcPr>
                <w:p w14:paraId="02B4D39E"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1.82</w:t>
                  </w:r>
                </w:p>
              </w:tc>
              <w:tc>
                <w:tcPr>
                  <w:tcW w:w="1339" w:type="dxa"/>
                  <w:tcBorders>
                    <w:top w:val="nil"/>
                    <w:left w:val="nil"/>
                    <w:bottom w:val="single" w:sz="4" w:space="0" w:color="auto"/>
                    <w:right w:val="nil"/>
                  </w:tcBorders>
                  <w:noWrap/>
                  <w:vAlign w:val="bottom"/>
                  <w:hideMark/>
                </w:tcPr>
                <w:p w14:paraId="6E27016E"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 </w:t>
                  </w:r>
                </w:p>
              </w:tc>
              <w:tc>
                <w:tcPr>
                  <w:tcW w:w="1496" w:type="dxa"/>
                  <w:gridSpan w:val="2"/>
                  <w:tcBorders>
                    <w:top w:val="nil"/>
                    <w:left w:val="nil"/>
                    <w:bottom w:val="single" w:sz="4" w:space="0" w:color="auto"/>
                    <w:right w:val="nil"/>
                  </w:tcBorders>
                  <w:noWrap/>
                  <w:vAlign w:val="bottom"/>
                  <w:hideMark/>
                </w:tcPr>
                <w:p w14:paraId="696EB92B"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34.99</w:t>
                  </w:r>
                </w:p>
              </w:tc>
              <w:tc>
                <w:tcPr>
                  <w:tcW w:w="1275" w:type="dxa"/>
                  <w:gridSpan w:val="3"/>
                  <w:tcBorders>
                    <w:top w:val="nil"/>
                    <w:left w:val="nil"/>
                    <w:bottom w:val="single" w:sz="4" w:space="0" w:color="auto"/>
                    <w:right w:val="nil"/>
                  </w:tcBorders>
                  <w:noWrap/>
                  <w:vAlign w:val="bottom"/>
                  <w:hideMark/>
                </w:tcPr>
                <w:p w14:paraId="57C2A03B"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 </w:t>
                  </w:r>
                </w:p>
              </w:tc>
              <w:tc>
                <w:tcPr>
                  <w:tcW w:w="1418" w:type="dxa"/>
                  <w:tcBorders>
                    <w:top w:val="nil"/>
                    <w:left w:val="nil"/>
                    <w:bottom w:val="single" w:sz="4" w:space="0" w:color="auto"/>
                    <w:right w:val="nil"/>
                  </w:tcBorders>
                  <w:noWrap/>
                  <w:vAlign w:val="bottom"/>
                  <w:hideMark/>
                </w:tcPr>
                <w:p w14:paraId="6089C9B4" w14:textId="77777777" w:rsidR="00D9556E" w:rsidRPr="00D9556E" w:rsidRDefault="00D9556E" w:rsidP="00D9556E">
                  <w:pPr>
                    <w:spacing w:after="0" w:line="240" w:lineRule="auto"/>
                    <w:jc w:val="center"/>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16.41</w:t>
                  </w:r>
                </w:p>
              </w:tc>
              <w:tc>
                <w:tcPr>
                  <w:tcW w:w="1134" w:type="dxa"/>
                  <w:tcBorders>
                    <w:top w:val="nil"/>
                    <w:left w:val="nil"/>
                    <w:bottom w:val="single" w:sz="4" w:space="0" w:color="auto"/>
                    <w:right w:val="nil"/>
                  </w:tcBorders>
                  <w:noWrap/>
                  <w:vAlign w:val="bottom"/>
                  <w:hideMark/>
                </w:tcPr>
                <w:p w14:paraId="210BE92A" w14:textId="77777777" w:rsidR="00D9556E" w:rsidRPr="00D9556E" w:rsidRDefault="00D9556E" w:rsidP="00D9556E">
                  <w:pPr>
                    <w:spacing w:after="0" w:line="240" w:lineRule="auto"/>
                    <w:rPr>
                      <w:rFonts w:ascii="Times New Roman" w:eastAsia="Times New Roman" w:hAnsi="Times New Roman" w:cs="Times New Roman"/>
                      <w:sz w:val="20"/>
                      <w:szCs w:val="20"/>
                      <w:lang w:eastAsia="en-IN" w:bidi="bn-IN"/>
                    </w:rPr>
                  </w:pPr>
                  <w:r w:rsidRPr="00D9556E">
                    <w:rPr>
                      <w:rFonts w:ascii="Times New Roman" w:eastAsia="Times New Roman" w:hAnsi="Times New Roman" w:cs="Times New Roman"/>
                      <w:sz w:val="20"/>
                      <w:szCs w:val="20"/>
                      <w:lang w:eastAsia="en-IN" w:bidi="bn-IN"/>
                    </w:rPr>
                    <w:t> </w:t>
                  </w:r>
                </w:p>
              </w:tc>
            </w:tr>
            <w:tr w:rsidR="00D9556E" w:rsidRPr="00D9556E" w14:paraId="08A3B8EB" w14:textId="77777777" w:rsidTr="00D9556E">
              <w:trPr>
                <w:trHeight w:val="70"/>
              </w:trPr>
              <w:tc>
                <w:tcPr>
                  <w:tcW w:w="6559" w:type="dxa"/>
                  <w:gridSpan w:val="6"/>
                  <w:tcBorders>
                    <w:top w:val="nil"/>
                    <w:left w:val="nil"/>
                    <w:bottom w:val="nil"/>
                    <w:right w:val="nil"/>
                  </w:tcBorders>
                  <w:noWrap/>
                  <w:vAlign w:val="bottom"/>
                  <w:hideMark/>
                </w:tcPr>
                <w:p w14:paraId="5BF35D7D" w14:textId="718FD970" w:rsidR="00D9556E" w:rsidRPr="00D9556E" w:rsidRDefault="00D9556E" w:rsidP="00D9556E">
                  <w:pPr>
                    <w:spacing w:after="0" w:line="240" w:lineRule="auto"/>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 xml:space="preserve">NOTE:   </w:t>
                  </w:r>
                  <w:r w:rsidR="00F9237B">
                    <w:rPr>
                      <w:rFonts w:ascii="Times New Roman" w:eastAsia="Times New Roman" w:hAnsi="Times New Roman" w:cs="Times New Roman"/>
                      <w:b/>
                      <w:bCs/>
                      <w:sz w:val="20"/>
                      <w:szCs w:val="20"/>
                      <w:lang w:eastAsia="en-IN" w:bidi="bn-IN"/>
                    </w:rPr>
                    <w:t xml:space="preserve">    </w:t>
                  </w:r>
                  <w:r w:rsidRPr="00D9556E">
                    <w:rPr>
                      <w:rFonts w:ascii="Times New Roman" w:eastAsia="Times New Roman" w:hAnsi="Times New Roman" w:cs="Times New Roman"/>
                      <w:b/>
                      <w:bCs/>
                      <w:sz w:val="20"/>
                      <w:szCs w:val="20"/>
                      <w:lang w:eastAsia="en-IN" w:bidi="bn-IN"/>
                    </w:rPr>
                    <w:t>Figures relate to Financial Year (April to March)</w:t>
                  </w:r>
                </w:p>
              </w:tc>
              <w:tc>
                <w:tcPr>
                  <w:tcW w:w="1275" w:type="dxa"/>
                  <w:gridSpan w:val="3"/>
                  <w:tcBorders>
                    <w:top w:val="nil"/>
                    <w:left w:val="nil"/>
                    <w:bottom w:val="nil"/>
                    <w:right w:val="nil"/>
                  </w:tcBorders>
                  <w:noWrap/>
                  <w:vAlign w:val="bottom"/>
                  <w:hideMark/>
                </w:tcPr>
                <w:p w14:paraId="22565A94" w14:textId="77777777" w:rsidR="00D9556E" w:rsidRPr="00D9556E" w:rsidRDefault="00D9556E" w:rsidP="00D9556E">
                  <w:pPr>
                    <w:spacing w:after="0" w:line="240" w:lineRule="auto"/>
                    <w:jc w:val="center"/>
                    <w:rPr>
                      <w:rFonts w:ascii="Times New Roman" w:eastAsia="Times New Roman" w:hAnsi="Times New Roman" w:cs="Times New Roman"/>
                      <w:i/>
                      <w:iCs/>
                      <w:sz w:val="20"/>
                      <w:szCs w:val="20"/>
                      <w:lang w:eastAsia="en-IN" w:bidi="bn-IN"/>
                    </w:rPr>
                  </w:pPr>
                </w:p>
              </w:tc>
              <w:tc>
                <w:tcPr>
                  <w:tcW w:w="1418" w:type="dxa"/>
                  <w:tcBorders>
                    <w:top w:val="nil"/>
                    <w:left w:val="nil"/>
                    <w:bottom w:val="nil"/>
                    <w:right w:val="nil"/>
                  </w:tcBorders>
                  <w:noWrap/>
                  <w:vAlign w:val="bottom"/>
                  <w:hideMark/>
                </w:tcPr>
                <w:p w14:paraId="65DDB542" w14:textId="77777777" w:rsidR="00D9556E" w:rsidRPr="00D9556E" w:rsidRDefault="00D9556E" w:rsidP="00D9556E">
                  <w:pPr>
                    <w:spacing w:after="0" w:line="240" w:lineRule="auto"/>
                    <w:jc w:val="center"/>
                    <w:rPr>
                      <w:rFonts w:ascii="Times New Roman" w:eastAsia="Times New Roman" w:hAnsi="Times New Roman" w:cs="Times New Roman"/>
                      <w:i/>
                      <w:iCs/>
                      <w:sz w:val="20"/>
                      <w:szCs w:val="20"/>
                      <w:lang w:eastAsia="en-IN" w:bidi="bn-IN"/>
                    </w:rPr>
                  </w:pPr>
                </w:p>
              </w:tc>
              <w:tc>
                <w:tcPr>
                  <w:tcW w:w="1134" w:type="dxa"/>
                  <w:tcBorders>
                    <w:top w:val="nil"/>
                    <w:left w:val="nil"/>
                    <w:bottom w:val="nil"/>
                    <w:right w:val="nil"/>
                  </w:tcBorders>
                  <w:noWrap/>
                  <w:vAlign w:val="bottom"/>
                  <w:hideMark/>
                </w:tcPr>
                <w:p w14:paraId="057F887C" w14:textId="77777777" w:rsidR="00D9556E" w:rsidRPr="00D9556E" w:rsidRDefault="00D9556E" w:rsidP="00D9556E">
                  <w:pPr>
                    <w:spacing w:after="0" w:line="240" w:lineRule="auto"/>
                    <w:jc w:val="center"/>
                    <w:rPr>
                      <w:rFonts w:ascii="Times New Roman" w:eastAsia="Times New Roman" w:hAnsi="Times New Roman" w:cs="Times New Roman"/>
                      <w:i/>
                      <w:iCs/>
                      <w:sz w:val="20"/>
                      <w:szCs w:val="20"/>
                      <w:lang w:eastAsia="en-IN" w:bidi="bn-IN"/>
                    </w:rPr>
                  </w:pPr>
                </w:p>
              </w:tc>
            </w:tr>
            <w:tr w:rsidR="00D9556E" w:rsidRPr="00D9556E" w14:paraId="22B2A9CA" w14:textId="77777777" w:rsidTr="00D9556E">
              <w:trPr>
                <w:trHeight w:val="80"/>
              </w:trPr>
              <w:tc>
                <w:tcPr>
                  <w:tcW w:w="5189" w:type="dxa"/>
                  <w:gridSpan w:val="5"/>
                  <w:tcBorders>
                    <w:top w:val="nil"/>
                    <w:left w:val="nil"/>
                    <w:bottom w:val="nil"/>
                    <w:right w:val="nil"/>
                  </w:tcBorders>
                  <w:noWrap/>
                  <w:vAlign w:val="bottom"/>
                  <w:hideMark/>
                </w:tcPr>
                <w:p w14:paraId="0BF9C7DF" w14:textId="409CF8A9" w:rsidR="00D9556E" w:rsidRPr="00D9556E" w:rsidRDefault="00D9556E" w:rsidP="00D9556E">
                  <w:pPr>
                    <w:spacing w:after="0" w:line="240" w:lineRule="auto"/>
                    <w:rPr>
                      <w:rFonts w:ascii="Times New Roman" w:eastAsia="Times New Roman" w:hAnsi="Times New Roman" w:cs="Times New Roman"/>
                      <w:b/>
                      <w:bCs/>
                      <w:sz w:val="20"/>
                      <w:szCs w:val="20"/>
                      <w:lang w:eastAsia="en-IN" w:bidi="bn-IN"/>
                    </w:rPr>
                  </w:pPr>
                  <w:r w:rsidRPr="00D9556E">
                    <w:rPr>
                      <w:rFonts w:ascii="Times New Roman" w:eastAsia="Times New Roman" w:hAnsi="Times New Roman" w:cs="Times New Roman"/>
                      <w:b/>
                      <w:bCs/>
                      <w:sz w:val="20"/>
                      <w:szCs w:val="20"/>
                      <w:lang w:eastAsia="en-IN" w:bidi="bn-IN"/>
                    </w:rPr>
                    <w:t>SOURCE: DGCI&amp;S, M/</w:t>
                  </w:r>
                  <w:proofErr w:type="spellStart"/>
                  <w:r w:rsidRPr="00D9556E">
                    <w:rPr>
                      <w:rFonts w:ascii="Times New Roman" w:eastAsia="Times New Roman" w:hAnsi="Times New Roman" w:cs="Times New Roman"/>
                      <w:b/>
                      <w:bCs/>
                      <w:sz w:val="20"/>
                      <w:szCs w:val="20"/>
                      <w:lang w:eastAsia="en-IN" w:bidi="bn-IN"/>
                    </w:rPr>
                    <w:t>oC&amp;I</w:t>
                  </w:r>
                  <w:proofErr w:type="spellEnd"/>
                </w:p>
              </w:tc>
              <w:tc>
                <w:tcPr>
                  <w:tcW w:w="1563" w:type="dxa"/>
                  <w:gridSpan w:val="2"/>
                  <w:tcBorders>
                    <w:top w:val="nil"/>
                    <w:left w:val="nil"/>
                    <w:bottom w:val="nil"/>
                    <w:right w:val="nil"/>
                  </w:tcBorders>
                  <w:noWrap/>
                  <w:vAlign w:val="bottom"/>
                  <w:hideMark/>
                </w:tcPr>
                <w:p w14:paraId="087567D8" w14:textId="77777777" w:rsidR="00D9556E" w:rsidRPr="00D9556E" w:rsidRDefault="00D9556E" w:rsidP="00D9556E">
                  <w:pPr>
                    <w:spacing w:after="0" w:line="240" w:lineRule="auto"/>
                    <w:rPr>
                      <w:rFonts w:ascii="Times New Roman" w:eastAsia="Times New Roman" w:hAnsi="Times New Roman" w:cs="Times New Roman"/>
                      <w:b/>
                      <w:bCs/>
                      <w:sz w:val="24"/>
                      <w:szCs w:val="24"/>
                      <w:lang w:eastAsia="en-IN" w:bidi="bn-IN"/>
                    </w:rPr>
                  </w:pPr>
                </w:p>
              </w:tc>
              <w:tc>
                <w:tcPr>
                  <w:tcW w:w="236" w:type="dxa"/>
                  <w:tcBorders>
                    <w:top w:val="nil"/>
                    <w:left w:val="nil"/>
                    <w:bottom w:val="nil"/>
                    <w:right w:val="nil"/>
                  </w:tcBorders>
                  <w:noWrap/>
                  <w:vAlign w:val="bottom"/>
                  <w:hideMark/>
                </w:tcPr>
                <w:p w14:paraId="1B1D74EE" w14:textId="77777777" w:rsidR="00D9556E" w:rsidRPr="00D9556E" w:rsidRDefault="00D9556E" w:rsidP="00D9556E">
                  <w:pPr>
                    <w:spacing w:after="0" w:line="240" w:lineRule="auto"/>
                    <w:rPr>
                      <w:rFonts w:ascii="Times New Roman" w:eastAsia="Times New Roman" w:hAnsi="Times New Roman" w:cs="Times New Roman"/>
                      <w:sz w:val="24"/>
                      <w:szCs w:val="24"/>
                      <w:lang w:eastAsia="en-IN" w:bidi="bn-IN"/>
                    </w:rPr>
                  </w:pPr>
                </w:p>
              </w:tc>
              <w:tc>
                <w:tcPr>
                  <w:tcW w:w="846" w:type="dxa"/>
                  <w:tcBorders>
                    <w:top w:val="nil"/>
                    <w:left w:val="nil"/>
                    <w:bottom w:val="nil"/>
                    <w:right w:val="nil"/>
                  </w:tcBorders>
                  <w:noWrap/>
                  <w:vAlign w:val="bottom"/>
                  <w:hideMark/>
                </w:tcPr>
                <w:p w14:paraId="541B8F6C" w14:textId="77777777" w:rsidR="00D9556E" w:rsidRPr="00D9556E" w:rsidRDefault="00D9556E" w:rsidP="00D9556E">
                  <w:pPr>
                    <w:spacing w:after="0" w:line="240" w:lineRule="auto"/>
                    <w:rPr>
                      <w:rFonts w:ascii="Times New Roman" w:eastAsia="Times New Roman" w:hAnsi="Times New Roman" w:cs="Times New Roman"/>
                      <w:sz w:val="24"/>
                      <w:szCs w:val="24"/>
                      <w:lang w:eastAsia="en-IN" w:bidi="bn-IN"/>
                    </w:rPr>
                  </w:pPr>
                </w:p>
              </w:tc>
              <w:tc>
                <w:tcPr>
                  <w:tcW w:w="1418" w:type="dxa"/>
                  <w:tcBorders>
                    <w:top w:val="nil"/>
                    <w:left w:val="nil"/>
                    <w:bottom w:val="nil"/>
                    <w:right w:val="nil"/>
                  </w:tcBorders>
                  <w:noWrap/>
                  <w:vAlign w:val="bottom"/>
                  <w:hideMark/>
                </w:tcPr>
                <w:p w14:paraId="405A0E95" w14:textId="77777777" w:rsidR="00D9556E" w:rsidRPr="00D9556E" w:rsidRDefault="00D9556E" w:rsidP="00D9556E">
                  <w:pPr>
                    <w:spacing w:after="0" w:line="240" w:lineRule="auto"/>
                    <w:rPr>
                      <w:rFonts w:ascii="Times New Roman" w:eastAsia="Times New Roman" w:hAnsi="Times New Roman" w:cs="Times New Roman"/>
                      <w:sz w:val="24"/>
                      <w:szCs w:val="24"/>
                      <w:lang w:eastAsia="en-IN" w:bidi="bn-IN"/>
                    </w:rPr>
                  </w:pPr>
                </w:p>
              </w:tc>
              <w:tc>
                <w:tcPr>
                  <w:tcW w:w="1134" w:type="dxa"/>
                  <w:tcBorders>
                    <w:top w:val="nil"/>
                    <w:left w:val="nil"/>
                    <w:bottom w:val="nil"/>
                    <w:right w:val="nil"/>
                  </w:tcBorders>
                  <w:noWrap/>
                  <w:vAlign w:val="bottom"/>
                  <w:hideMark/>
                </w:tcPr>
                <w:p w14:paraId="59EE36A1" w14:textId="77777777" w:rsidR="00D9556E" w:rsidRPr="00D9556E" w:rsidRDefault="00D9556E" w:rsidP="00D9556E">
                  <w:pPr>
                    <w:spacing w:after="0" w:line="240" w:lineRule="auto"/>
                    <w:rPr>
                      <w:rFonts w:ascii="Times New Roman" w:eastAsia="Times New Roman" w:hAnsi="Times New Roman" w:cs="Times New Roman"/>
                      <w:sz w:val="28"/>
                      <w:szCs w:val="28"/>
                      <w:lang w:eastAsia="en-IN" w:bidi="bn-IN"/>
                    </w:rPr>
                  </w:pPr>
                </w:p>
              </w:tc>
            </w:tr>
          </w:tbl>
          <w:p w14:paraId="3B28620E" w14:textId="77777777" w:rsidR="00296A25" w:rsidRPr="00FF16DF" w:rsidRDefault="00296A25" w:rsidP="00296A25">
            <w:pPr>
              <w:spacing w:after="0" w:line="240" w:lineRule="auto"/>
              <w:jc w:val="both"/>
              <w:rPr>
                <w:rFonts w:ascii="Times New Roman" w:eastAsia="Times New Roman" w:hAnsi="Times New Roman" w:cs="Times New Roman"/>
                <w:b/>
                <w:bCs/>
                <w:sz w:val="24"/>
                <w:szCs w:val="24"/>
                <w:lang w:eastAsia="en-IN" w:bidi="bn-IN"/>
              </w:rPr>
            </w:pPr>
          </w:p>
        </w:tc>
        <w:tc>
          <w:tcPr>
            <w:tcW w:w="406" w:type="dxa"/>
            <w:gridSpan w:val="3"/>
            <w:noWrap/>
            <w:vAlign w:val="center"/>
            <w:hideMark/>
          </w:tcPr>
          <w:p w14:paraId="17468B5B" w14:textId="77777777" w:rsidR="00FF16DF" w:rsidRPr="00FF16DF" w:rsidRDefault="00FF16DF" w:rsidP="00024862">
            <w:pPr>
              <w:spacing w:after="0" w:line="240" w:lineRule="auto"/>
              <w:jc w:val="center"/>
              <w:rPr>
                <w:rFonts w:ascii="Times New Roman" w:eastAsia="Times New Roman" w:hAnsi="Times New Roman" w:cs="Times New Roman"/>
                <w:b/>
                <w:bCs/>
                <w:sz w:val="24"/>
                <w:szCs w:val="24"/>
                <w:lang w:eastAsia="en-IN" w:bidi="bn-IN"/>
              </w:rPr>
            </w:pPr>
          </w:p>
        </w:tc>
        <w:tc>
          <w:tcPr>
            <w:tcW w:w="236" w:type="dxa"/>
            <w:noWrap/>
            <w:vAlign w:val="bottom"/>
            <w:hideMark/>
          </w:tcPr>
          <w:p w14:paraId="085CD47D" w14:textId="77777777" w:rsidR="00FF16DF" w:rsidRPr="00FF16DF" w:rsidRDefault="00FF16DF" w:rsidP="00FF16DF">
            <w:pPr>
              <w:spacing w:after="0" w:line="240" w:lineRule="auto"/>
              <w:rPr>
                <w:rFonts w:ascii="Times New Roman" w:eastAsia="Times New Roman" w:hAnsi="Times New Roman" w:cs="Times New Roman"/>
                <w:b/>
                <w:bCs/>
                <w:sz w:val="24"/>
                <w:szCs w:val="24"/>
                <w:lang w:eastAsia="en-IN" w:bidi="bn-IN"/>
              </w:rPr>
            </w:pPr>
          </w:p>
        </w:tc>
      </w:tr>
    </w:tbl>
    <w:p w14:paraId="66BB8FF8" w14:textId="77777777" w:rsidR="00FF16DF" w:rsidRDefault="00FF16DF" w:rsidP="00550AE3">
      <w:pPr>
        <w:pStyle w:val="BodyText"/>
        <w:ind w:left="142"/>
        <w:rPr>
          <w:szCs w:val="24"/>
        </w:rPr>
      </w:pPr>
    </w:p>
    <w:p w14:paraId="50B85B17" w14:textId="77777777" w:rsidR="008A089B" w:rsidRPr="00845875" w:rsidRDefault="008A089B" w:rsidP="008A089B">
      <w:pPr>
        <w:pStyle w:val="BodyText"/>
        <w:ind w:left="142"/>
        <w:jc w:val="center"/>
        <w:rPr>
          <w:b/>
          <w:bCs/>
          <w:color w:val="31849B" w:themeColor="accent5" w:themeShade="BF"/>
          <w:szCs w:val="24"/>
        </w:rPr>
      </w:pPr>
      <w:r w:rsidRPr="00845875">
        <w:rPr>
          <w:b/>
          <w:bCs/>
          <w:color w:val="31849B" w:themeColor="accent5" w:themeShade="BF"/>
          <w:szCs w:val="24"/>
        </w:rPr>
        <w:t>FIGURE - 2</w:t>
      </w:r>
    </w:p>
    <w:p w14:paraId="4B8B5952" w14:textId="77777777" w:rsidR="00210F63" w:rsidRDefault="00ED38CF" w:rsidP="00ED38CF">
      <w:pPr>
        <w:pStyle w:val="BodyText"/>
        <w:ind w:left="142"/>
        <w:jc w:val="center"/>
        <w:rPr>
          <w:szCs w:val="24"/>
        </w:rPr>
      </w:pPr>
      <w:r w:rsidRPr="00ED38CF">
        <w:rPr>
          <w:noProof/>
          <w:szCs w:val="24"/>
          <w:lang w:val="en-IN" w:eastAsia="en-IN" w:bidi="bn-IN"/>
        </w:rPr>
        <w:drawing>
          <wp:inline distT="0" distB="0" distL="0" distR="0" wp14:anchorId="627AAC21" wp14:editId="172A48BB">
            <wp:extent cx="6496050" cy="284797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00B9DD" w14:textId="77777777" w:rsidR="00BA284F" w:rsidRPr="00450D59" w:rsidRDefault="00BA284F" w:rsidP="00A914D1">
      <w:pPr>
        <w:pStyle w:val="NormalWeb"/>
        <w:jc w:val="both"/>
        <w:rPr>
          <w:color w:val="984806" w:themeColor="accent6" w:themeShade="80"/>
        </w:rPr>
      </w:pPr>
      <w:r w:rsidRPr="00450D59">
        <w:rPr>
          <w:rStyle w:val="Strong"/>
          <w:color w:val="984806" w:themeColor="accent6" w:themeShade="80"/>
        </w:rPr>
        <w:t>10. Additionally, from Tables 4 &amp; 5 presented below, the following are stated:</w:t>
      </w:r>
    </w:p>
    <w:p w14:paraId="5EE73E82" w14:textId="77777777" w:rsidR="00BA284F" w:rsidRPr="0026453E" w:rsidRDefault="00BA284F" w:rsidP="00001C0C">
      <w:pPr>
        <w:pStyle w:val="NormalWeb"/>
        <w:jc w:val="both"/>
      </w:pPr>
      <w:r w:rsidRPr="0026453E">
        <w:rPr>
          <w:rStyle w:val="Strong"/>
          <w:b w:val="0"/>
          <w:bCs w:val="0"/>
        </w:rPr>
        <w:t>a.</w:t>
      </w:r>
      <w:r w:rsidRPr="0026453E">
        <w:t xml:space="preserve"> </w:t>
      </w:r>
      <w:r w:rsidR="00925E4B" w:rsidRPr="0026453E">
        <w:tab/>
      </w:r>
      <w:r w:rsidR="00001C0C" w:rsidRPr="00001C0C">
        <w:t>(</w:t>
      </w:r>
      <w:proofErr w:type="spellStart"/>
      <w:r w:rsidR="00001C0C" w:rsidRPr="00001C0C">
        <w:t>i</w:t>
      </w:r>
      <w:proofErr w:type="spellEnd"/>
      <w:r w:rsidR="00001C0C" w:rsidRPr="00001C0C">
        <w:t xml:space="preserve">) </w:t>
      </w:r>
      <w:r w:rsidR="00001C0C" w:rsidRPr="00001C0C">
        <w:rPr>
          <w:rStyle w:val="Strong"/>
        </w:rPr>
        <w:t>Petroleum Products</w:t>
      </w:r>
      <w:r w:rsidR="00001C0C" w:rsidRPr="00001C0C">
        <w:t xml:space="preserve">, (ii) </w:t>
      </w:r>
      <w:r w:rsidR="00001C0C" w:rsidRPr="00001C0C">
        <w:rPr>
          <w:rStyle w:val="Strong"/>
        </w:rPr>
        <w:t>Drug Formulations, Biologicals</w:t>
      </w:r>
      <w:r w:rsidR="00001C0C" w:rsidRPr="00001C0C">
        <w:t xml:space="preserve">, and (iii) </w:t>
      </w:r>
      <w:r w:rsidR="00001C0C" w:rsidRPr="00001C0C">
        <w:rPr>
          <w:rStyle w:val="Strong"/>
        </w:rPr>
        <w:t>Rice (Other than Basmati)</w:t>
      </w:r>
      <w:r w:rsidR="00001C0C" w:rsidRPr="00001C0C">
        <w:t xml:space="preserve"> occupied the top three positions in India's exports to Mozambique during </w:t>
      </w:r>
      <w:r w:rsidR="00001C0C" w:rsidRPr="00001C0C">
        <w:rPr>
          <w:rStyle w:val="Strong"/>
        </w:rPr>
        <w:t>FY 2024–25</w:t>
      </w:r>
      <w:r w:rsidR="00001C0C" w:rsidRPr="00001C0C">
        <w:t xml:space="preserve">. Among these, </w:t>
      </w:r>
      <w:r w:rsidR="00001C0C" w:rsidRPr="00001C0C">
        <w:rPr>
          <w:rStyle w:val="Strong"/>
        </w:rPr>
        <w:t>Petroleum Products</w:t>
      </w:r>
      <w:r w:rsidR="00001C0C" w:rsidRPr="00001C0C">
        <w:t xml:space="preserve"> accounted for the largest share, constituting </w:t>
      </w:r>
      <w:r w:rsidR="00001C0C" w:rsidRPr="00001C0C">
        <w:rPr>
          <w:rStyle w:val="Strong"/>
        </w:rPr>
        <w:t>46.16%</w:t>
      </w:r>
      <w:r w:rsidR="00001C0C" w:rsidRPr="00001C0C">
        <w:t xml:space="preserve"> of India's total exports to Mozambique during FY 2024–25.</w:t>
      </w:r>
    </w:p>
    <w:p w14:paraId="6855D84B" w14:textId="77777777" w:rsidR="00AE1A27" w:rsidRPr="0026453E" w:rsidRDefault="00BA284F" w:rsidP="00001C0C">
      <w:pPr>
        <w:pStyle w:val="BodyText"/>
        <w:spacing w:after="120"/>
        <w:rPr>
          <w:szCs w:val="24"/>
        </w:rPr>
      </w:pPr>
      <w:r w:rsidRPr="0026453E">
        <w:rPr>
          <w:rStyle w:val="Strong"/>
          <w:b w:val="0"/>
          <w:bCs w:val="0"/>
          <w:szCs w:val="24"/>
        </w:rPr>
        <w:t>b.</w:t>
      </w:r>
      <w:r w:rsidRPr="0026453E">
        <w:rPr>
          <w:szCs w:val="24"/>
        </w:rPr>
        <w:t xml:space="preserve"> </w:t>
      </w:r>
      <w:r w:rsidR="00925E4B" w:rsidRPr="0026453E">
        <w:rPr>
          <w:szCs w:val="24"/>
        </w:rPr>
        <w:tab/>
      </w:r>
      <w:r w:rsidR="00001C0C" w:rsidRPr="00001C0C">
        <w:rPr>
          <w:szCs w:val="24"/>
        </w:rPr>
        <w:t xml:space="preserve">The three major commodities in India's import basket from Mozambique during </w:t>
      </w:r>
      <w:r w:rsidR="00001C0C" w:rsidRPr="00001C0C">
        <w:rPr>
          <w:rStyle w:val="Strong"/>
          <w:szCs w:val="24"/>
        </w:rPr>
        <w:t>FY 2024–25</w:t>
      </w:r>
      <w:r w:rsidR="00001C0C" w:rsidRPr="00001C0C">
        <w:rPr>
          <w:szCs w:val="24"/>
        </w:rPr>
        <w:t xml:space="preserve"> were (</w:t>
      </w:r>
      <w:proofErr w:type="spellStart"/>
      <w:r w:rsidR="00001C0C" w:rsidRPr="00001C0C">
        <w:rPr>
          <w:szCs w:val="24"/>
        </w:rPr>
        <w:t>i</w:t>
      </w:r>
      <w:proofErr w:type="spellEnd"/>
      <w:r w:rsidR="00001C0C" w:rsidRPr="00001C0C">
        <w:rPr>
          <w:szCs w:val="24"/>
        </w:rPr>
        <w:t xml:space="preserve">) </w:t>
      </w:r>
      <w:r w:rsidR="00001C0C" w:rsidRPr="00001C0C">
        <w:rPr>
          <w:rStyle w:val="Strong"/>
          <w:szCs w:val="24"/>
        </w:rPr>
        <w:t>Coal, Coke and Briquettes, etc.</w:t>
      </w:r>
      <w:r w:rsidR="00001C0C" w:rsidRPr="00001C0C">
        <w:rPr>
          <w:szCs w:val="24"/>
        </w:rPr>
        <w:t xml:space="preserve">, (ii) </w:t>
      </w:r>
      <w:r w:rsidR="00001C0C" w:rsidRPr="00001C0C">
        <w:rPr>
          <w:rStyle w:val="Strong"/>
          <w:szCs w:val="24"/>
        </w:rPr>
        <w:t>Pulses</w:t>
      </w:r>
      <w:r w:rsidR="00001C0C" w:rsidRPr="00001C0C">
        <w:rPr>
          <w:szCs w:val="24"/>
        </w:rPr>
        <w:t xml:space="preserve">, and (iii) </w:t>
      </w:r>
      <w:r w:rsidR="00001C0C" w:rsidRPr="00001C0C">
        <w:rPr>
          <w:rStyle w:val="Strong"/>
          <w:szCs w:val="24"/>
        </w:rPr>
        <w:t>Petroleum Products</w:t>
      </w:r>
      <w:r w:rsidR="00001C0C" w:rsidRPr="00001C0C">
        <w:rPr>
          <w:szCs w:val="24"/>
        </w:rPr>
        <w:t xml:space="preserve">. Among these, </w:t>
      </w:r>
      <w:r w:rsidR="00001C0C" w:rsidRPr="00001C0C">
        <w:rPr>
          <w:rStyle w:val="Strong"/>
          <w:szCs w:val="24"/>
        </w:rPr>
        <w:t>Coal, Coke and Briquettes, etc.</w:t>
      </w:r>
      <w:r w:rsidR="00001C0C" w:rsidRPr="00001C0C">
        <w:rPr>
          <w:szCs w:val="24"/>
        </w:rPr>
        <w:t xml:space="preserve"> accounted for the largest share, constituting </w:t>
      </w:r>
      <w:r w:rsidR="00001C0C" w:rsidRPr="00001C0C">
        <w:rPr>
          <w:rStyle w:val="Strong"/>
          <w:szCs w:val="24"/>
        </w:rPr>
        <w:t>53.84%</w:t>
      </w:r>
      <w:r w:rsidR="00001C0C" w:rsidRPr="00001C0C">
        <w:rPr>
          <w:szCs w:val="24"/>
        </w:rPr>
        <w:t xml:space="preserve"> of India's total imports from Mozambique during FY 2024–25.</w:t>
      </w:r>
    </w:p>
    <w:tbl>
      <w:tblPr>
        <w:tblW w:w="11794" w:type="dxa"/>
        <w:tblInd w:w="-176" w:type="dxa"/>
        <w:tblLook w:val="04A0" w:firstRow="1" w:lastRow="0" w:firstColumn="1" w:lastColumn="0" w:noHBand="0" w:noVBand="1"/>
      </w:tblPr>
      <w:tblGrid>
        <w:gridCol w:w="169"/>
        <w:gridCol w:w="234"/>
        <w:gridCol w:w="179"/>
        <w:gridCol w:w="167"/>
        <w:gridCol w:w="1891"/>
        <w:gridCol w:w="371"/>
        <w:gridCol w:w="190"/>
        <w:gridCol w:w="344"/>
        <w:gridCol w:w="580"/>
        <w:gridCol w:w="568"/>
        <w:gridCol w:w="98"/>
        <w:gridCol w:w="806"/>
        <w:gridCol w:w="94"/>
        <w:gridCol w:w="391"/>
        <w:gridCol w:w="451"/>
        <w:gridCol w:w="713"/>
        <w:gridCol w:w="133"/>
        <w:gridCol w:w="733"/>
        <w:gridCol w:w="112"/>
        <w:gridCol w:w="348"/>
        <w:gridCol w:w="52"/>
        <w:gridCol w:w="235"/>
        <w:gridCol w:w="236"/>
        <w:gridCol w:w="52"/>
        <w:gridCol w:w="776"/>
        <w:gridCol w:w="268"/>
        <w:gridCol w:w="583"/>
        <w:gridCol w:w="183"/>
        <w:gridCol w:w="59"/>
        <w:gridCol w:w="608"/>
        <w:gridCol w:w="170"/>
      </w:tblGrid>
      <w:tr w:rsidR="00512303" w:rsidRPr="00262659" w14:paraId="65B1DFC4" w14:textId="77777777" w:rsidTr="00AC0230">
        <w:trPr>
          <w:gridBefore w:val="1"/>
          <w:gridAfter w:val="8"/>
          <w:wBefore w:w="169" w:type="dxa"/>
          <w:wAfter w:w="2699" w:type="dxa"/>
          <w:trHeight w:val="80"/>
        </w:trPr>
        <w:tc>
          <w:tcPr>
            <w:tcW w:w="234" w:type="dxa"/>
            <w:tcBorders>
              <w:top w:val="nil"/>
              <w:left w:val="nil"/>
              <w:bottom w:val="nil"/>
              <w:right w:val="nil"/>
            </w:tcBorders>
            <w:noWrap/>
            <w:vAlign w:val="bottom"/>
            <w:hideMark/>
          </w:tcPr>
          <w:p w14:paraId="405791A2" w14:textId="77777777" w:rsidR="00262659" w:rsidRPr="00262659" w:rsidRDefault="00262659" w:rsidP="00262659">
            <w:pPr>
              <w:spacing w:after="0" w:line="240" w:lineRule="auto"/>
              <w:rPr>
                <w:rFonts w:ascii="Times New Roman" w:eastAsia="Times New Roman" w:hAnsi="Times New Roman" w:cs="Times New Roman"/>
                <w:lang w:eastAsia="en-IN" w:bidi="bn-IN"/>
              </w:rPr>
            </w:pPr>
          </w:p>
        </w:tc>
        <w:tc>
          <w:tcPr>
            <w:tcW w:w="2237" w:type="dxa"/>
            <w:gridSpan w:val="3"/>
            <w:tcBorders>
              <w:top w:val="nil"/>
              <w:left w:val="nil"/>
              <w:bottom w:val="nil"/>
              <w:right w:val="nil"/>
            </w:tcBorders>
            <w:noWrap/>
            <w:vAlign w:val="bottom"/>
            <w:hideMark/>
          </w:tcPr>
          <w:p w14:paraId="7A7ACC44" w14:textId="77777777" w:rsidR="00262659" w:rsidRPr="00262659" w:rsidRDefault="00262659" w:rsidP="00262659">
            <w:pPr>
              <w:spacing w:after="0" w:line="240" w:lineRule="auto"/>
              <w:rPr>
                <w:rFonts w:ascii="Times New Roman" w:eastAsia="Times New Roman" w:hAnsi="Times New Roman" w:cs="Times New Roman"/>
                <w:sz w:val="24"/>
                <w:szCs w:val="24"/>
                <w:lang w:eastAsia="en-IN" w:bidi="bn-IN"/>
              </w:rPr>
            </w:pPr>
          </w:p>
        </w:tc>
        <w:tc>
          <w:tcPr>
            <w:tcW w:w="561" w:type="dxa"/>
            <w:gridSpan w:val="2"/>
            <w:tcBorders>
              <w:top w:val="nil"/>
              <w:left w:val="nil"/>
              <w:bottom w:val="nil"/>
              <w:right w:val="nil"/>
            </w:tcBorders>
            <w:noWrap/>
            <w:vAlign w:val="bottom"/>
            <w:hideMark/>
          </w:tcPr>
          <w:p w14:paraId="53FB336E" w14:textId="77777777" w:rsidR="00262659" w:rsidRPr="00262659" w:rsidRDefault="00262659" w:rsidP="00262659">
            <w:pPr>
              <w:spacing w:after="0" w:line="240" w:lineRule="auto"/>
              <w:rPr>
                <w:rFonts w:ascii="Times New Roman" w:eastAsia="Times New Roman" w:hAnsi="Times New Roman" w:cs="Times New Roman"/>
                <w:sz w:val="24"/>
                <w:szCs w:val="24"/>
                <w:lang w:eastAsia="en-IN" w:bidi="bn-IN"/>
              </w:rPr>
            </w:pPr>
          </w:p>
        </w:tc>
        <w:tc>
          <w:tcPr>
            <w:tcW w:w="1590" w:type="dxa"/>
            <w:gridSpan w:val="4"/>
            <w:tcBorders>
              <w:top w:val="nil"/>
              <w:left w:val="nil"/>
              <w:bottom w:val="nil"/>
              <w:right w:val="nil"/>
            </w:tcBorders>
            <w:noWrap/>
            <w:vAlign w:val="bottom"/>
            <w:hideMark/>
          </w:tcPr>
          <w:p w14:paraId="66F0DDFF" w14:textId="77777777" w:rsidR="00262659" w:rsidRDefault="00262659" w:rsidP="00262659">
            <w:pPr>
              <w:spacing w:after="0" w:line="240" w:lineRule="auto"/>
              <w:jc w:val="center"/>
              <w:rPr>
                <w:rFonts w:ascii="Times New Roman" w:eastAsia="Times New Roman" w:hAnsi="Times New Roman" w:cs="Times New Roman"/>
                <w:b/>
                <w:bCs/>
                <w:color w:val="215868" w:themeColor="accent5" w:themeShade="80"/>
                <w:sz w:val="24"/>
                <w:szCs w:val="24"/>
                <w:lang w:eastAsia="en-IN" w:bidi="bn-IN"/>
              </w:rPr>
            </w:pPr>
          </w:p>
          <w:p w14:paraId="18C02BEA" w14:textId="77777777" w:rsidR="0069358F" w:rsidRPr="00F011F4" w:rsidRDefault="0069358F" w:rsidP="0069358F">
            <w:pPr>
              <w:spacing w:after="0" w:line="240" w:lineRule="auto"/>
              <w:rPr>
                <w:rFonts w:ascii="Times New Roman" w:eastAsia="Times New Roman" w:hAnsi="Times New Roman" w:cs="Times New Roman"/>
                <w:b/>
                <w:bCs/>
                <w:color w:val="215868" w:themeColor="accent5" w:themeShade="80"/>
                <w:sz w:val="24"/>
                <w:szCs w:val="24"/>
                <w:lang w:eastAsia="en-IN" w:bidi="bn-IN"/>
              </w:rPr>
            </w:pPr>
          </w:p>
        </w:tc>
        <w:tc>
          <w:tcPr>
            <w:tcW w:w="900" w:type="dxa"/>
            <w:gridSpan w:val="2"/>
            <w:tcBorders>
              <w:top w:val="nil"/>
              <w:left w:val="nil"/>
              <w:bottom w:val="nil"/>
              <w:right w:val="nil"/>
            </w:tcBorders>
            <w:noWrap/>
            <w:vAlign w:val="bottom"/>
            <w:hideMark/>
          </w:tcPr>
          <w:p w14:paraId="1F616908" w14:textId="77777777" w:rsidR="00262659" w:rsidRPr="00262659" w:rsidRDefault="00262659" w:rsidP="00262659">
            <w:pPr>
              <w:spacing w:after="0" w:line="240" w:lineRule="auto"/>
              <w:rPr>
                <w:rFonts w:ascii="Times New Roman" w:eastAsia="Times New Roman" w:hAnsi="Times New Roman" w:cs="Times New Roman"/>
                <w:sz w:val="24"/>
                <w:szCs w:val="24"/>
                <w:lang w:eastAsia="en-IN" w:bidi="bn-IN"/>
              </w:rPr>
            </w:pPr>
          </w:p>
        </w:tc>
        <w:tc>
          <w:tcPr>
            <w:tcW w:w="391" w:type="dxa"/>
            <w:tcBorders>
              <w:top w:val="nil"/>
              <w:left w:val="nil"/>
              <w:bottom w:val="nil"/>
              <w:right w:val="nil"/>
            </w:tcBorders>
            <w:noWrap/>
            <w:vAlign w:val="bottom"/>
            <w:hideMark/>
          </w:tcPr>
          <w:p w14:paraId="77071425" w14:textId="77777777" w:rsidR="00262659" w:rsidRPr="00262659" w:rsidRDefault="00262659" w:rsidP="00262659">
            <w:pPr>
              <w:spacing w:after="0" w:line="240" w:lineRule="auto"/>
              <w:rPr>
                <w:rFonts w:ascii="Times New Roman" w:eastAsia="Times New Roman" w:hAnsi="Times New Roman" w:cs="Times New Roman"/>
                <w:sz w:val="24"/>
                <w:szCs w:val="24"/>
                <w:lang w:eastAsia="en-IN" w:bidi="bn-IN"/>
              </w:rPr>
            </w:pPr>
          </w:p>
        </w:tc>
        <w:tc>
          <w:tcPr>
            <w:tcW w:w="2542" w:type="dxa"/>
            <w:gridSpan w:val="7"/>
            <w:tcBorders>
              <w:top w:val="nil"/>
              <w:left w:val="nil"/>
              <w:bottom w:val="nil"/>
              <w:right w:val="nil"/>
            </w:tcBorders>
            <w:noWrap/>
            <w:vAlign w:val="bottom"/>
            <w:hideMark/>
          </w:tcPr>
          <w:p w14:paraId="659CD124" w14:textId="77777777" w:rsidR="00262659" w:rsidRPr="00262659" w:rsidRDefault="00262659" w:rsidP="00262659">
            <w:pPr>
              <w:spacing w:after="0" w:line="240" w:lineRule="auto"/>
              <w:rPr>
                <w:rFonts w:ascii="Times New Roman" w:eastAsia="Times New Roman" w:hAnsi="Times New Roman" w:cs="Times New Roman"/>
                <w:sz w:val="24"/>
                <w:szCs w:val="24"/>
                <w:lang w:eastAsia="en-IN" w:bidi="bn-IN"/>
              </w:rPr>
            </w:pPr>
          </w:p>
        </w:tc>
        <w:tc>
          <w:tcPr>
            <w:tcW w:w="235" w:type="dxa"/>
            <w:tcBorders>
              <w:top w:val="nil"/>
              <w:left w:val="nil"/>
              <w:bottom w:val="nil"/>
              <w:right w:val="nil"/>
            </w:tcBorders>
            <w:noWrap/>
            <w:vAlign w:val="bottom"/>
            <w:hideMark/>
          </w:tcPr>
          <w:p w14:paraId="4C103C1A" w14:textId="77777777" w:rsidR="00262659" w:rsidRPr="00262659" w:rsidRDefault="00262659" w:rsidP="00262659">
            <w:pPr>
              <w:spacing w:after="0" w:line="240" w:lineRule="auto"/>
              <w:rPr>
                <w:rFonts w:ascii="Times New Roman" w:eastAsia="Times New Roman" w:hAnsi="Times New Roman" w:cs="Times New Roman"/>
                <w:sz w:val="24"/>
                <w:szCs w:val="24"/>
                <w:lang w:eastAsia="en-IN" w:bidi="bn-IN"/>
              </w:rPr>
            </w:pPr>
          </w:p>
        </w:tc>
        <w:tc>
          <w:tcPr>
            <w:tcW w:w="236" w:type="dxa"/>
            <w:tcBorders>
              <w:top w:val="nil"/>
              <w:left w:val="nil"/>
              <w:bottom w:val="nil"/>
              <w:right w:val="nil"/>
            </w:tcBorders>
            <w:noWrap/>
            <w:vAlign w:val="bottom"/>
            <w:hideMark/>
          </w:tcPr>
          <w:p w14:paraId="25DE8C1C" w14:textId="77777777" w:rsidR="00262659" w:rsidRPr="00262659" w:rsidRDefault="00262659" w:rsidP="00262659">
            <w:pPr>
              <w:spacing w:after="0" w:line="240" w:lineRule="auto"/>
              <w:rPr>
                <w:rFonts w:ascii="Times New Roman" w:eastAsia="Times New Roman" w:hAnsi="Times New Roman" w:cs="Times New Roman"/>
                <w:sz w:val="24"/>
                <w:szCs w:val="24"/>
                <w:lang w:eastAsia="en-IN" w:bidi="bn-IN"/>
              </w:rPr>
            </w:pPr>
          </w:p>
        </w:tc>
      </w:tr>
      <w:tr w:rsidR="00A203CA" w:rsidRPr="00262659" w14:paraId="4DC96E41" w14:textId="77777777" w:rsidTr="00AC0230">
        <w:trPr>
          <w:gridBefore w:val="1"/>
          <w:gridAfter w:val="11"/>
          <w:wBefore w:w="169" w:type="dxa"/>
          <w:wAfter w:w="3222" w:type="dxa"/>
          <w:trHeight w:val="80"/>
        </w:trPr>
        <w:tc>
          <w:tcPr>
            <w:tcW w:w="8403" w:type="dxa"/>
            <w:gridSpan w:val="19"/>
            <w:tcBorders>
              <w:top w:val="nil"/>
              <w:left w:val="nil"/>
              <w:bottom w:val="nil"/>
              <w:right w:val="nil"/>
            </w:tcBorders>
            <w:noWrap/>
            <w:vAlign w:val="bottom"/>
            <w:hideMark/>
          </w:tcPr>
          <w:p w14:paraId="73E25AFC" w14:textId="77777777" w:rsidR="00262659" w:rsidRPr="00262659" w:rsidRDefault="00262659" w:rsidP="0090736E">
            <w:pPr>
              <w:spacing w:after="0" w:line="240" w:lineRule="auto"/>
              <w:rPr>
                <w:rFonts w:ascii="Times New Roman" w:eastAsia="Times New Roman" w:hAnsi="Times New Roman" w:cs="Times New Roman"/>
                <w:b/>
                <w:bCs/>
                <w:sz w:val="24"/>
                <w:szCs w:val="24"/>
                <w:lang w:eastAsia="en-IN" w:bidi="bn-IN"/>
              </w:rPr>
            </w:pPr>
          </w:p>
        </w:tc>
      </w:tr>
      <w:tr w:rsidR="00131553" w:rsidRPr="00131553" w14:paraId="327B8CBD" w14:textId="77777777" w:rsidTr="00AC0230">
        <w:trPr>
          <w:gridBefore w:val="1"/>
          <w:wBefore w:w="169" w:type="dxa"/>
          <w:trHeight w:val="315"/>
        </w:trPr>
        <w:tc>
          <w:tcPr>
            <w:tcW w:w="580" w:type="dxa"/>
            <w:gridSpan w:val="3"/>
            <w:tcBorders>
              <w:top w:val="nil"/>
              <w:left w:val="nil"/>
              <w:bottom w:val="nil"/>
              <w:right w:val="nil"/>
            </w:tcBorders>
            <w:noWrap/>
            <w:vAlign w:val="bottom"/>
            <w:hideMark/>
          </w:tcPr>
          <w:p w14:paraId="4397A56E" w14:textId="77777777" w:rsidR="00131553" w:rsidRPr="00131553" w:rsidRDefault="00131553" w:rsidP="00131553">
            <w:pPr>
              <w:spacing w:after="0" w:line="240" w:lineRule="auto"/>
              <w:rPr>
                <w:rFonts w:ascii="Times New Roman" w:eastAsia="Times New Roman" w:hAnsi="Times New Roman" w:cs="Times New Roman"/>
                <w:lang w:eastAsia="en-IN" w:bidi="bn-IN"/>
              </w:rPr>
            </w:pPr>
          </w:p>
        </w:tc>
        <w:tc>
          <w:tcPr>
            <w:tcW w:w="2262" w:type="dxa"/>
            <w:gridSpan w:val="2"/>
            <w:tcBorders>
              <w:top w:val="nil"/>
              <w:left w:val="nil"/>
              <w:bottom w:val="nil"/>
              <w:right w:val="nil"/>
            </w:tcBorders>
            <w:noWrap/>
            <w:vAlign w:val="bottom"/>
            <w:hideMark/>
          </w:tcPr>
          <w:p w14:paraId="2BB2436E" w14:textId="77777777" w:rsidR="00131553" w:rsidRPr="00131553" w:rsidRDefault="00131553" w:rsidP="00131553">
            <w:pPr>
              <w:spacing w:after="0" w:line="240" w:lineRule="auto"/>
              <w:rPr>
                <w:rFonts w:ascii="Times New Roman" w:eastAsia="Times New Roman" w:hAnsi="Times New Roman" w:cs="Times New Roman"/>
                <w:sz w:val="24"/>
                <w:szCs w:val="24"/>
                <w:lang w:eastAsia="en-IN" w:bidi="bn-IN"/>
              </w:rPr>
            </w:pPr>
          </w:p>
        </w:tc>
        <w:tc>
          <w:tcPr>
            <w:tcW w:w="1114" w:type="dxa"/>
            <w:gridSpan w:val="3"/>
            <w:tcBorders>
              <w:top w:val="nil"/>
              <w:left w:val="nil"/>
              <w:bottom w:val="nil"/>
              <w:right w:val="nil"/>
            </w:tcBorders>
            <w:noWrap/>
            <w:vAlign w:val="bottom"/>
            <w:hideMark/>
          </w:tcPr>
          <w:p w14:paraId="70D19DF6" w14:textId="77777777" w:rsidR="00131553" w:rsidRPr="00131553" w:rsidRDefault="00131553" w:rsidP="00131553">
            <w:pPr>
              <w:spacing w:after="0" w:line="240" w:lineRule="auto"/>
              <w:rPr>
                <w:rFonts w:ascii="Times New Roman" w:eastAsia="Times New Roman" w:hAnsi="Times New Roman" w:cs="Times New Roman"/>
                <w:sz w:val="24"/>
                <w:szCs w:val="24"/>
                <w:lang w:eastAsia="en-IN" w:bidi="bn-IN"/>
              </w:rPr>
            </w:pPr>
          </w:p>
        </w:tc>
        <w:tc>
          <w:tcPr>
            <w:tcW w:w="3121" w:type="dxa"/>
            <w:gridSpan w:val="7"/>
            <w:tcBorders>
              <w:top w:val="nil"/>
              <w:left w:val="nil"/>
              <w:bottom w:val="nil"/>
              <w:right w:val="nil"/>
            </w:tcBorders>
            <w:noWrap/>
            <w:vAlign w:val="center"/>
            <w:hideMark/>
          </w:tcPr>
          <w:p w14:paraId="34A5DFC1" w14:textId="77777777" w:rsidR="00A11859" w:rsidRDefault="00A11859" w:rsidP="002774B6">
            <w:pPr>
              <w:spacing w:after="0" w:line="240" w:lineRule="auto"/>
              <w:jc w:val="center"/>
              <w:rPr>
                <w:rFonts w:ascii="Times New Roman" w:eastAsia="Times New Roman" w:hAnsi="Times New Roman" w:cs="Times New Roman"/>
                <w:b/>
                <w:bCs/>
                <w:color w:val="31849B" w:themeColor="accent5" w:themeShade="BF"/>
                <w:sz w:val="24"/>
                <w:szCs w:val="24"/>
                <w:lang w:eastAsia="en-IN" w:bidi="bn-IN"/>
              </w:rPr>
            </w:pPr>
          </w:p>
          <w:p w14:paraId="5AF82E9A" w14:textId="77777777" w:rsidR="00131553" w:rsidRPr="00845875" w:rsidRDefault="00131553" w:rsidP="002774B6">
            <w:pPr>
              <w:spacing w:after="0" w:line="240" w:lineRule="auto"/>
              <w:jc w:val="center"/>
              <w:rPr>
                <w:rFonts w:ascii="Times New Roman" w:eastAsia="Times New Roman" w:hAnsi="Times New Roman" w:cs="Times New Roman"/>
                <w:b/>
                <w:bCs/>
                <w:color w:val="31849B" w:themeColor="accent5" w:themeShade="BF"/>
                <w:sz w:val="24"/>
                <w:szCs w:val="24"/>
                <w:lang w:eastAsia="en-IN" w:bidi="bn-IN"/>
              </w:rPr>
            </w:pPr>
            <w:r w:rsidRPr="00845875">
              <w:rPr>
                <w:rFonts w:ascii="Times New Roman" w:eastAsia="Times New Roman" w:hAnsi="Times New Roman" w:cs="Times New Roman"/>
                <w:b/>
                <w:bCs/>
                <w:color w:val="31849B" w:themeColor="accent5" w:themeShade="BF"/>
                <w:sz w:val="24"/>
                <w:szCs w:val="24"/>
                <w:lang w:eastAsia="en-IN" w:bidi="bn-IN"/>
              </w:rPr>
              <w:lastRenderedPageBreak/>
              <w:t>TABLE -4</w:t>
            </w:r>
          </w:p>
        </w:tc>
        <w:tc>
          <w:tcPr>
            <w:tcW w:w="866" w:type="dxa"/>
            <w:gridSpan w:val="2"/>
            <w:tcBorders>
              <w:top w:val="nil"/>
              <w:left w:val="nil"/>
              <w:bottom w:val="nil"/>
              <w:right w:val="nil"/>
            </w:tcBorders>
            <w:noWrap/>
            <w:vAlign w:val="bottom"/>
            <w:hideMark/>
          </w:tcPr>
          <w:p w14:paraId="7E20A1FC" w14:textId="77777777" w:rsidR="00131553" w:rsidRPr="00131553" w:rsidRDefault="00131553" w:rsidP="00131553">
            <w:pPr>
              <w:spacing w:after="0" w:line="240" w:lineRule="auto"/>
              <w:rPr>
                <w:rFonts w:ascii="Times New Roman" w:eastAsia="Times New Roman" w:hAnsi="Times New Roman" w:cs="Times New Roman"/>
                <w:sz w:val="24"/>
                <w:szCs w:val="24"/>
                <w:lang w:eastAsia="en-IN" w:bidi="bn-IN"/>
              </w:rPr>
            </w:pPr>
          </w:p>
        </w:tc>
        <w:tc>
          <w:tcPr>
            <w:tcW w:w="1035" w:type="dxa"/>
            <w:gridSpan w:val="6"/>
            <w:tcBorders>
              <w:top w:val="nil"/>
              <w:left w:val="nil"/>
              <w:bottom w:val="nil"/>
              <w:right w:val="nil"/>
            </w:tcBorders>
            <w:noWrap/>
            <w:vAlign w:val="bottom"/>
            <w:hideMark/>
          </w:tcPr>
          <w:p w14:paraId="44F32ACC" w14:textId="77777777" w:rsidR="00131553" w:rsidRPr="00131553" w:rsidRDefault="00131553" w:rsidP="00131553">
            <w:pPr>
              <w:spacing w:after="0" w:line="240" w:lineRule="auto"/>
              <w:rPr>
                <w:rFonts w:ascii="Times New Roman" w:eastAsia="Times New Roman" w:hAnsi="Times New Roman" w:cs="Times New Roman"/>
                <w:sz w:val="24"/>
                <w:szCs w:val="24"/>
                <w:lang w:eastAsia="en-IN" w:bidi="bn-IN"/>
              </w:rPr>
            </w:pPr>
          </w:p>
        </w:tc>
        <w:tc>
          <w:tcPr>
            <w:tcW w:w="1044" w:type="dxa"/>
            <w:gridSpan w:val="2"/>
            <w:tcBorders>
              <w:top w:val="nil"/>
              <w:left w:val="nil"/>
              <w:bottom w:val="nil"/>
              <w:right w:val="nil"/>
            </w:tcBorders>
            <w:noWrap/>
            <w:vAlign w:val="bottom"/>
            <w:hideMark/>
          </w:tcPr>
          <w:p w14:paraId="3FBD9D77" w14:textId="77777777" w:rsidR="00131553" w:rsidRPr="00131553" w:rsidRDefault="00131553" w:rsidP="00131553">
            <w:pPr>
              <w:spacing w:after="0" w:line="240" w:lineRule="auto"/>
              <w:rPr>
                <w:rFonts w:ascii="Times New Roman" w:eastAsia="Times New Roman" w:hAnsi="Times New Roman" w:cs="Times New Roman"/>
                <w:sz w:val="24"/>
                <w:szCs w:val="24"/>
                <w:lang w:eastAsia="en-IN" w:bidi="bn-IN"/>
              </w:rPr>
            </w:pPr>
          </w:p>
        </w:tc>
        <w:tc>
          <w:tcPr>
            <w:tcW w:w="766" w:type="dxa"/>
            <w:gridSpan w:val="2"/>
            <w:tcBorders>
              <w:top w:val="nil"/>
              <w:left w:val="nil"/>
              <w:bottom w:val="nil"/>
              <w:right w:val="nil"/>
            </w:tcBorders>
            <w:noWrap/>
            <w:vAlign w:val="bottom"/>
            <w:hideMark/>
          </w:tcPr>
          <w:p w14:paraId="684EB166" w14:textId="77777777" w:rsidR="00131553" w:rsidRPr="00131553" w:rsidRDefault="00131553" w:rsidP="00131553">
            <w:pPr>
              <w:spacing w:after="0" w:line="240" w:lineRule="auto"/>
              <w:rPr>
                <w:rFonts w:ascii="Times New Roman" w:eastAsia="Times New Roman" w:hAnsi="Times New Roman" w:cs="Times New Roman"/>
                <w:sz w:val="24"/>
                <w:szCs w:val="24"/>
                <w:lang w:eastAsia="en-IN" w:bidi="bn-IN"/>
              </w:rPr>
            </w:pPr>
          </w:p>
        </w:tc>
        <w:tc>
          <w:tcPr>
            <w:tcW w:w="837" w:type="dxa"/>
            <w:gridSpan w:val="3"/>
            <w:tcBorders>
              <w:top w:val="nil"/>
              <w:left w:val="nil"/>
              <w:bottom w:val="nil"/>
              <w:right w:val="nil"/>
            </w:tcBorders>
            <w:noWrap/>
            <w:vAlign w:val="bottom"/>
            <w:hideMark/>
          </w:tcPr>
          <w:p w14:paraId="2DF887B9" w14:textId="77777777" w:rsidR="00131553" w:rsidRPr="00131553" w:rsidRDefault="00131553" w:rsidP="00131553">
            <w:pPr>
              <w:spacing w:after="0" w:line="240" w:lineRule="auto"/>
              <w:rPr>
                <w:rFonts w:ascii="Times New Roman" w:eastAsia="Times New Roman" w:hAnsi="Times New Roman" w:cs="Times New Roman"/>
                <w:sz w:val="24"/>
                <w:szCs w:val="24"/>
                <w:lang w:eastAsia="en-IN" w:bidi="bn-IN"/>
              </w:rPr>
            </w:pPr>
          </w:p>
        </w:tc>
      </w:tr>
      <w:tr w:rsidR="00131553" w:rsidRPr="00131553" w14:paraId="61FCF38D" w14:textId="77777777" w:rsidTr="00AC0230">
        <w:trPr>
          <w:gridBefore w:val="1"/>
          <w:gridAfter w:val="2"/>
          <w:wBefore w:w="169" w:type="dxa"/>
          <w:wAfter w:w="778" w:type="dxa"/>
          <w:trHeight w:val="80"/>
        </w:trPr>
        <w:tc>
          <w:tcPr>
            <w:tcW w:w="10847" w:type="dxa"/>
            <w:gridSpan w:val="28"/>
            <w:tcBorders>
              <w:top w:val="nil"/>
              <w:left w:val="nil"/>
              <w:bottom w:val="nil"/>
              <w:right w:val="nil"/>
            </w:tcBorders>
            <w:noWrap/>
            <w:vAlign w:val="bottom"/>
            <w:hideMark/>
          </w:tcPr>
          <w:p w14:paraId="48D301E8" w14:textId="77777777" w:rsidR="00131553" w:rsidRPr="00131553" w:rsidRDefault="00131553" w:rsidP="0090736E">
            <w:pPr>
              <w:spacing w:after="0" w:line="240" w:lineRule="auto"/>
              <w:jc w:val="center"/>
              <w:rPr>
                <w:rFonts w:ascii="Times New Roman" w:eastAsia="Times New Roman" w:hAnsi="Times New Roman" w:cs="Times New Roman"/>
                <w:b/>
                <w:bCs/>
                <w:sz w:val="24"/>
                <w:szCs w:val="24"/>
                <w:lang w:eastAsia="en-IN" w:bidi="bn-IN"/>
              </w:rPr>
            </w:pPr>
            <w:r w:rsidRPr="00131553">
              <w:rPr>
                <w:rFonts w:ascii="Times New Roman" w:eastAsia="Times New Roman" w:hAnsi="Times New Roman" w:cs="Times New Roman"/>
                <w:b/>
                <w:bCs/>
                <w:sz w:val="24"/>
                <w:szCs w:val="24"/>
                <w:lang w:eastAsia="en-IN" w:bidi="bn-IN"/>
              </w:rPr>
              <w:t xml:space="preserve">INDIA'S MAJOR ITEMS OF MERCHANDISE EXPORTS TO </w:t>
            </w:r>
            <w:r w:rsidR="00E21D32">
              <w:rPr>
                <w:rFonts w:ascii="Times New Roman" w:eastAsia="Times New Roman" w:hAnsi="Times New Roman" w:cs="Times New Roman"/>
                <w:b/>
                <w:bCs/>
                <w:sz w:val="24"/>
                <w:szCs w:val="24"/>
                <w:lang w:eastAsia="en-IN" w:bidi="bn-IN"/>
              </w:rPr>
              <w:t>MOZAMBIQUE</w:t>
            </w:r>
          </w:p>
        </w:tc>
      </w:tr>
      <w:tr w:rsidR="00131553" w:rsidRPr="00131553" w14:paraId="0034D443" w14:textId="77777777" w:rsidTr="00AC0230">
        <w:trPr>
          <w:gridBefore w:val="1"/>
          <w:gridAfter w:val="2"/>
          <w:wBefore w:w="169" w:type="dxa"/>
          <w:wAfter w:w="778" w:type="dxa"/>
          <w:trHeight w:val="80"/>
        </w:trPr>
        <w:tc>
          <w:tcPr>
            <w:tcW w:w="10847" w:type="dxa"/>
            <w:gridSpan w:val="28"/>
            <w:tcBorders>
              <w:top w:val="nil"/>
              <w:left w:val="nil"/>
              <w:bottom w:val="nil"/>
              <w:right w:val="nil"/>
            </w:tcBorders>
            <w:noWrap/>
            <w:vAlign w:val="bottom"/>
            <w:hideMark/>
          </w:tcPr>
          <w:p w14:paraId="401852FF" w14:textId="77777777" w:rsidR="00131553" w:rsidRPr="00131553" w:rsidRDefault="00131553" w:rsidP="0090736E">
            <w:pPr>
              <w:spacing w:after="0" w:line="240" w:lineRule="auto"/>
              <w:rPr>
                <w:rFonts w:ascii="Times New Roman" w:eastAsia="Times New Roman" w:hAnsi="Times New Roman" w:cs="Times New Roman"/>
                <w:b/>
                <w:bCs/>
                <w:sz w:val="24"/>
                <w:szCs w:val="24"/>
                <w:lang w:eastAsia="en-IN" w:bidi="bn-IN"/>
              </w:rPr>
            </w:pPr>
            <w:r w:rsidRPr="00131553">
              <w:rPr>
                <w:rFonts w:ascii="Times New Roman" w:eastAsia="Times New Roman" w:hAnsi="Times New Roman" w:cs="Times New Roman"/>
                <w:b/>
                <w:bCs/>
                <w:sz w:val="24"/>
                <w:szCs w:val="24"/>
                <w:lang w:eastAsia="en-IN" w:bidi="bn-IN"/>
              </w:rPr>
              <w:t xml:space="preserve">                                         2020-2021 TO 2024-2025 AND THEIR GROWTH RATES</w:t>
            </w:r>
          </w:p>
        </w:tc>
      </w:tr>
      <w:tr w:rsidR="002774B6" w:rsidRPr="002774B6" w14:paraId="26D1D3BE" w14:textId="77777777" w:rsidTr="00320DF4">
        <w:trPr>
          <w:gridAfter w:val="1"/>
          <w:wAfter w:w="170" w:type="dxa"/>
          <w:trHeight w:val="80"/>
        </w:trPr>
        <w:tc>
          <w:tcPr>
            <w:tcW w:w="11624" w:type="dxa"/>
            <w:gridSpan w:val="30"/>
            <w:tcBorders>
              <w:top w:val="nil"/>
              <w:left w:val="nil"/>
              <w:bottom w:val="single" w:sz="4" w:space="0" w:color="auto"/>
              <w:right w:val="nil"/>
            </w:tcBorders>
            <w:noWrap/>
            <w:vAlign w:val="bottom"/>
            <w:hideMark/>
          </w:tcPr>
          <w:p w14:paraId="05BFB6BB" w14:textId="77777777" w:rsidR="002774B6" w:rsidRPr="002774B6" w:rsidRDefault="002774B6" w:rsidP="002774B6">
            <w:pPr>
              <w:spacing w:after="0" w:line="240" w:lineRule="auto"/>
              <w:jc w:val="right"/>
              <w:rPr>
                <w:rFonts w:ascii="Times New Roman" w:eastAsia="Times New Roman" w:hAnsi="Times New Roman" w:cs="Times New Roman"/>
                <w:b/>
                <w:bCs/>
                <w:sz w:val="20"/>
                <w:szCs w:val="20"/>
                <w:lang w:eastAsia="en-IN" w:bidi="bn-IN"/>
              </w:rPr>
            </w:pPr>
            <w:r w:rsidRPr="002774B6">
              <w:rPr>
                <w:rFonts w:ascii="Times New Roman" w:eastAsia="Times New Roman" w:hAnsi="Times New Roman" w:cs="Times New Roman"/>
                <w:b/>
                <w:bCs/>
                <w:sz w:val="20"/>
                <w:szCs w:val="20"/>
                <w:lang w:eastAsia="en-IN" w:bidi="bn-IN"/>
              </w:rPr>
              <w:t xml:space="preserve"> (Value in USD Million)</w:t>
            </w:r>
          </w:p>
        </w:tc>
      </w:tr>
      <w:tr w:rsidR="002774B6" w:rsidRPr="002774B6" w14:paraId="5C4895EF" w14:textId="77777777" w:rsidTr="008A76FB">
        <w:trPr>
          <w:gridAfter w:val="1"/>
          <w:wAfter w:w="170" w:type="dxa"/>
          <w:trHeight w:val="255"/>
        </w:trPr>
        <w:tc>
          <w:tcPr>
            <w:tcW w:w="582" w:type="dxa"/>
            <w:gridSpan w:val="3"/>
            <w:tcBorders>
              <w:top w:val="nil"/>
              <w:left w:val="single" w:sz="4" w:space="0" w:color="auto"/>
              <w:bottom w:val="nil"/>
              <w:right w:val="nil"/>
            </w:tcBorders>
            <w:noWrap/>
            <w:vAlign w:val="bottom"/>
            <w:hideMark/>
          </w:tcPr>
          <w:p w14:paraId="5AB4DD86" w14:textId="77777777" w:rsidR="002774B6" w:rsidRPr="002774B6" w:rsidRDefault="002774B6" w:rsidP="002774B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Sl. No</w:t>
            </w:r>
            <w:r>
              <w:rPr>
                <w:rFonts w:ascii="Times New Roman" w:eastAsia="Times New Roman" w:hAnsi="Times New Roman" w:cs="Times New Roman"/>
                <w:b/>
                <w:bCs/>
                <w:sz w:val="18"/>
                <w:szCs w:val="18"/>
                <w:lang w:eastAsia="en-IN" w:bidi="bn-IN"/>
              </w:rPr>
              <w:t>.</w:t>
            </w:r>
          </w:p>
        </w:tc>
        <w:tc>
          <w:tcPr>
            <w:tcW w:w="2963" w:type="dxa"/>
            <w:gridSpan w:val="5"/>
            <w:tcBorders>
              <w:top w:val="nil"/>
              <w:left w:val="single" w:sz="4" w:space="0" w:color="auto"/>
              <w:bottom w:val="single" w:sz="4" w:space="0" w:color="auto"/>
              <w:right w:val="single" w:sz="4" w:space="0" w:color="auto"/>
            </w:tcBorders>
            <w:noWrap/>
            <w:vAlign w:val="bottom"/>
            <w:hideMark/>
          </w:tcPr>
          <w:p w14:paraId="67A34BDC" w14:textId="77777777" w:rsidR="002774B6" w:rsidRPr="002774B6" w:rsidRDefault="002774B6" w:rsidP="002774B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Name of the Merchandise Commodities</w:t>
            </w:r>
          </w:p>
        </w:tc>
        <w:tc>
          <w:tcPr>
            <w:tcW w:w="4679" w:type="dxa"/>
            <w:gridSpan w:val="11"/>
            <w:tcBorders>
              <w:top w:val="single" w:sz="4" w:space="0" w:color="auto"/>
              <w:left w:val="nil"/>
              <w:bottom w:val="single" w:sz="4" w:space="0" w:color="auto"/>
              <w:right w:val="single" w:sz="4" w:space="0" w:color="000000"/>
            </w:tcBorders>
            <w:noWrap/>
            <w:vAlign w:val="center"/>
            <w:hideMark/>
          </w:tcPr>
          <w:p w14:paraId="7EA227E9" w14:textId="77777777" w:rsidR="002774B6" w:rsidRPr="002774B6" w:rsidRDefault="002774B6" w:rsidP="008A76FB">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Value of Exports</w:t>
            </w:r>
          </w:p>
        </w:tc>
        <w:tc>
          <w:tcPr>
            <w:tcW w:w="2550" w:type="dxa"/>
            <w:gridSpan w:val="8"/>
            <w:tcBorders>
              <w:top w:val="single" w:sz="4" w:space="0" w:color="auto"/>
              <w:left w:val="single" w:sz="4" w:space="0" w:color="auto"/>
              <w:bottom w:val="nil"/>
              <w:right w:val="nil"/>
            </w:tcBorders>
            <w:noWrap/>
            <w:vAlign w:val="center"/>
            <w:hideMark/>
          </w:tcPr>
          <w:p w14:paraId="2DE2128D" w14:textId="77777777" w:rsidR="002774B6" w:rsidRPr="002774B6" w:rsidRDefault="008A76FB" w:rsidP="008A76FB">
            <w:pPr>
              <w:spacing w:after="0" w:line="240" w:lineRule="auto"/>
              <w:jc w:val="center"/>
              <w:rPr>
                <w:rFonts w:ascii="Times New Roman" w:eastAsia="Times New Roman" w:hAnsi="Times New Roman" w:cs="Times New Roman"/>
                <w:b/>
                <w:bCs/>
                <w:sz w:val="18"/>
                <w:szCs w:val="18"/>
                <w:lang w:eastAsia="en-IN" w:bidi="bn-IN"/>
              </w:rPr>
            </w:pPr>
            <w:r>
              <w:rPr>
                <w:rFonts w:ascii="Times New Roman" w:eastAsia="Times New Roman" w:hAnsi="Times New Roman" w:cs="Times New Roman"/>
                <w:b/>
                <w:bCs/>
                <w:sz w:val="18"/>
                <w:szCs w:val="18"/>
                <w:lang w:eastAsia="en-IN" w:bidi="bn-IN"/>
              </w:rPr>
              <w:t xml:space="preserve">              </w:t>
            </w:r>
            <w:r w:rsidR="002774B6" w:rsidRPr="002774B6">
              <w:rPr>
                <w:rFonts w:ascii="Times New Roman" w:eastAsia="Times New Roman" w:hAnsi="Times New Roman" w:cs="Times New Roman"/>
                <w:b/>
                <w:bCs/>
                <w:sz w:val="18"/>
                <w:szCs w:val="18"/>
                <w:lang w:eastAsia="en-IN" w:bidi="bn-IN"/>
              </w:rPr>
              <w:t>Annual Growth Rates</w:t>
            </w:r>
          </w:p>
        </w:tc>
        <w:tc>
          <w:tcPr>
            <w:tcW w:w="850" w:type="dxa"/>
            <w:gridSpan w:val="3"/>
            <w:tcBorders>
              <w:top w:val="nil"/>
              <w:left w:val="nil"/>
              <w:bottom w:val="nil"/>
              <w:right w:val="single" w:sz="4" w:space="0" w:color="auto"/>
            </w:tcBorders>
            <w:noWrap/>
            <w:vAlign w:val="bottom"/>
            <w:hideMark/>
          </w:tcPr>
          <w:p w14:paraId="54EE7D45" w14:textId="77777777" w:rsidR="002774B6" w:rsidRPr="002774B6" w:rsidRDefault="002774B6" w:rsidP="002774B6">
            <w:pPr>
              <w:tabs>
                <w:tab w:val="left" w:pos="654"/>
              </w:tabs>
              <w:spacing w:after="0" w:line="240" w:lineRule="auto"/>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 </w:t>
            </w:r>
          </w:p>
        </w:tc>
      </w:tr>
      <w:tr w:rsidR="002774B6" w:rsidRPr="002774B6" w14:paraId="3160B2BC" w14:textId="77777777" w:rsidTr="00502250">
        <w:trPr>
          <w:gridAfter w:val="1"/>
          <w:wAfter w:w="170" w:type="dxa"/>
          <w:trHeight w:val="255"/>
        </w:trPr>
        <w:tc>
          <w:tcPr>
            <w:tcW w:w="582" w:type="dxa"/>
            <w:gridSpan w:val="3"/>
            <w:tcBorders>
              <w:top w:val="nil"/>
              <w:left w:val="single" w:sz="4" w:space="0" w:color="auto"/>
              <w:bottom w:val="nil"/>
              <w:right w:val="nil"/>
            </w:tcBorders>
            <w:noWrap/>
            <w:vAlign w:val="bottom"/>
            <w:hideMark/>
          </w:tcPr>
          <w:p w14:paraId="67ACD1CE" w14:textId="77777777" w:rsidR="002774B6" w:rsidRPr="002774B6" w:rsidRDefault="002774B6" w:rsidP="002774B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 </w:t>
            </w:r>
          </w:p>
        </w:tc>
        <w:tc>
          <w:tcPr>
            <w:tcW w:w="2963" w:type="dxa"/>
            <w:gridSpan w:val="5"/>
            <w:tcBorders>
              <w:top w:val="nil"/>
              <w:left w:val="single" w:sz="4" w:space="0" w:color="auto"/>
              <w:bottom w:val="nil"/>
              <w:right w:val="single" w:sz="4" w:space="0" w:color="auto"/>
            </w:tcBorders>
            <w:noWrap/>
            <w:vAlign w:val="bottom"/>
            <w:hideMark/>
          </w:tcPr>
          <w:p w14:paraId="6BF9BFD3" w14:textId="77777777" w:rsidR="002774B6" w:rsidRPr="002774B6" w:rsidRDefault="002774B6" w:rsidP="002774B6">
            <w:pPr>
              <w:spacing w:after="0" w:line="240" w:lineRule="auto"/>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 </w:t>
            </w:r>
          </w:p>
        </w:tc>
        <w:tc>
          <w:tcPr>
            <w:tcW w:w="1148" w:type="dxa"/>
            <w:gridSpan w:val="2"/>
            <w:tcBorders>
              <w:top w:val="nil"/>
              <w:left w:val="nil"/>
              <w:bottom w:val="nil"/>
              <w:right w:val="single" w:sz="4" w:space="0" w:color="auto"/>
            </w:tcBorders>
            <w:noWrap/>
            <w:vAlign w:val="center"/>
            <w:hideMark/>
          </w:tcPr>
          <w:p w14:paraId="6740E262" w14:textId="77777777" w:rsidR="002774B6" w:rsidRPr="002774B6" w:rsidRDefault="002774B6" w:rsidP="00502250">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2020-21</w:t>
            </w:r>
          </w:p>
        </w:tc>
        <w:tc>
          <w:tcPr>
            <w:tcW w:w="904" w:type="dxa"/>
            <w:gridSpan w:val="2"/>
            <w:tcBorders>
              <w:top w:val="nil"/>
              <w:left w:val="nil"/>
              <w:bottom w:val="nil"/>
              <w:right w:val="single" w:sz="4" w:space="0" w:color="auto"/>
            </w:tcBorders>
            <w:noWrap/>
            <w:vAlign w:val="center"/>
            <w:hideMark/>
          </w:tcPr>
          <w:p w14:paraId="3F39B69F" w14:textId="77777777" w:rsidR="002774B6" w:rsidRPr="002774B6" w:rsidRDefault="002774B6" w:rsidP="00502250">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2021-22</w:t>
            </w:r>
          </w:p>
        </w:tc>
        <w:tc>
          <w:tcPr>
            <w:tcW w:w="936" w:type="dxa"/>
            <w:gridSpan w:val="3"/>
            <w:tcBorders>
              <w:top w:val="nil"/>
              <w:left w:val="nil"/>
              <w:bottom w:val="nil"/>
              <w:right w:val="single" w:sz="4" w:space="0" w:color="auto"/>
            </w:tcBorders>
            <w:noWrap/>
            <w:vAlign w:val="center"/>
            <w:hideMark/>
          </w:tcPr>
          <w:p w14:paraId="241FD69E" w14:textId="77777777" w:rsidR="002774B6" w:rsidRPr="002774B6" w:rsidRDefault="002774B6" w:rsidP="00502250">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2022-23</w:t>
            </w:r>
          </w:p>
        </w:tc>
        <w:tc>
          <w:tcPr>
            <w:tcW w:w="846" w:type="dxa"/>
            <w:gridSpan w:val="2"/>
            <w:tcBorders>
              <w:top w:val="nil"/>
              <w:left w:val="nil"/>
              <w:bottom w:val="nil"/>
              <w:right w:val="single" w:sz="4" w:space="0" w:color="auto"/>
            </w:tcBorders>
            <w:noWrap/>
            <w:vAlign w:val="center"/>
            <w:hideMark/>
          </w:tcPr>
          <w:p w14:paraId="7479319A" w14:textId="77777777" w:rsidR="002774B6" w:rsidRPr="002774B6" w:rsidRDefault="002774B6" w:rsidP="00502250">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2023-24</w:t>
            </w:r>
          </w:p>
        </w:tc>
        <w:tc>
          <w:tcPr>
            <w:tcW w:w="845" w:type="dxa"/>
            <w:gridSpan w:val="2"/>
            <w:tcBorders>
              <w:top w:val="nil"/>
              <w:left w:val="nil"/>
              <w:bottom w:val="nil"/>
              <w:right w:val="single" w:sz="4" w:space="0" w:color="auto"/>
            </w:tcBorders>
            <w:noWrap/>
            <w:vAlign w:val="center"/>
            <w:hideMark/>
          </w:tcPr>
          <w:p w14:paraId="6870E8B7" w14:textId="77777777" w:rsidR="002774B6" w:rsidRPr="002774B6" w:rsidRDefault="002774B6" w:rsidP="00502250">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2024-25</w:t>
            </w:r>
          </w:p>
        </w:tc>
        <w:tc>
          <w:tcPr>
            <w:tcW w:w="871" w:type="dxa"/>
            <w:gridSpan w:val="4"/>
            <w:tcBorders>
              <w:top w:val="single" w:sz="4" w:space="0" w:color="auto"/>
              <w:left w:val="nil"/>
              <w:bottom w:val="nil"/>
              <w:right w:val="single" w:sz="4" w:space="0" w:color="auto"/>
            </w:tcBorders>
            <w:noWrap/>
            <w:vAlign w:val="center"/>
            <w:hideMark/>
          </w:tcPr>
          <w:p w14:paraId="4E9C936A" w14:textId="77777777" w:rsidR="002774B6" w:rsidRPr="002774B6" w:rsidRDefault="002774B6" w:rsidP="00502250">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21-22 over</w:t>
            </w:r>
          </w:p>
        </w:tc>
        <w:tc>
          <w:tcPr>
            <w:tcW w:w="828" w:type="dxa"/>
            <w:gridSpan w:val="2"/>
            <w:tcBorders>
              <w:top w:val="single" w:sz="4" w:space="0" w:color="auto"/>
              <w:left w:val="nil"/>
              <w:bottom w:val="nil"/>
              <w:right w:val="single" w:sz="4" w:space="0" w:color="auto"/>
            </w:tcBorders>
            <w:noWrap/>
            <w:vAlign w:val="center"/>
            <w:hideMark/>
          </w:tcPr>
          <w:p w14:paraId="67D028AA" w14:textId="77777777" w:rsidR="002774B6" w:rsidRPr="002774B6" w:rsidRDefault="002774B6" w:rsidP="00502250">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22-23 over</w:t>
            </w:r>
          </w:p>
        </w:tc>
        <w:tc>
          <w:tcPr>
            <w:tcW w:w="851" w:type="dxa"/>
            <w:gridSpan w:val="2"/>
            <w:tcBorders>
              <w:top w:val="single" w:sz="4" w:space="0" w:color="auto"/>
              <w:left w:val="nil"/>
              <w:bottom w:val="nil"/>
              <w:right w:val="single" w:sz="4" w:space="0" w:color="auto"/>
            </w:tcBorders>
            <w:noWrap/>
            <w:vAlign w:val="center"/>
            <w:hideMark/>
          </w:tcPr>
          <w:p w14:paraId="37B4F5D3" w14:textId="77777777" w:rsidR="002774B6" w:rsidRPr="002774B6" w:rsidRDefault="002774B6" w:rsidP="00502250">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23-24 over</w:t>
            </w:r>
          </w:p>
        </w:tc>
        <w:tc>
          <w:tcPr>
            <w:tcW w:w="850" w:type="dxa"/>
            <w:gridSpan w:val="3"/>
            <w:tcBorders>
              <w:top w:val="single" w:sz="4" w:space="0" w:color="auto"/>
              <w:left w:val="nil"/>
              <w:bottom w:val="nil"/>
              <w:right w:val="single" w:sz="4" w:space="0" w:color="auto"/>
            </w:tcBorders>
            <w:noWrap/>
            <w:vAlign w:val="center"/>
            <w:hideMark/>
          </w:tcPr>
          <w:p w14:paraId="344760FE" w14:textId="77777777" w:rsidR="002774B6" w:rsidRPr="002774B6" w:rsidRDefault="002774B6" w:rsidP="00502250">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24-25 over</w:t>
            </w:r>
          </w:p>
        </w:tc>
      </w:tr>
      <w:tr w:rsidR="002774B6" w:rsidRPr="002774B6" w14:paraId="28807F68" w14:textId="77777777" w:rsidTr="00502250">
        <w:trPr>
          <w:gridAfter w:val="1"/>
          <w:wAfter w:w="170" w:type="dxa"/>
          <w:trHeight w:val="255"/>
        </w:trPr>
        <w:tc>
          <w:tcPr>
            <w:tcW w:w="582" w:type="dxa"/>
            <w:gridSpan w:val="3"/>
            <w:tcBorders>
              <w:top w:val="nil"/>
              <w:left w:val="single" w:sz="4" w:space="0" w:color="auto"/>
              <w:bottom w:val="single" w:sz="4" w:space="0" w:color="auto"/>
              <w:right w:val="nil"/>
            </w:tcBorders>
            <w:noWrap/>
            <w:vAlign w:val="bottom"/>
            <w:hideMark/>
          </w:tcPr>
          <w:p w14:paraId="65B5B48E" w14:textId="77777777" w:rsidR="002774B6" w:rsidRPr="002774B6" w:rsidRDefault="002774B6" w:rsidP="002774B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 </w:t>
            </w:r>
          </w:p>
        </w:tc>
        <w:tc>
          <w:tcPr>
            <w:tcW w:w="2963" w:type="dxa"/>
            <w:gridSpan w:val="5"/>
            <w:tcBorders>
              <w:top w:val="nil"/>
              <w:left w:val="single" w:sz="4" w:space="0" w:color="auto"/>
              <w:bottom w:val="single" w:sz="4" w:space="0" w:color="auto"/>
              <w:right w:val="single" w:sz="4" w:space="0" w:color="auto"/>
            </w:tcBorders>
            <w:noWrap/>
            <w:vAlign w:val="bottom"/>
            <w:hideMark/>
          </w:tcPr>
          <w:p w14:paraId="06DC98C3" w14:textId="77777777" w:rsidR="002774B6" w:rsidRPr="002774B6" w:rsidRDefault="002774B6" w:rsidP="002774B6">
            <w:pPr>
              <w:spacing w:after="0" w:line="240" w:lineRule="auto"/>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 </w:t>
            </w:r>
          </w:p>
        </w:tc>
        <w:tc>
          <w:tcPr>
            <w:tcW w:w="1148" w:type="dxa"/>
            <w:gridSpan w:val="2"/>
            <w:tcBorders>
              <w:top w:val="nil"/>
              <w:left w:val="nil"/>
              <w:bottom w:val="single" w:sz="4" w:space="0" w:color="auto"/>
              <w:right w:val="single" w:sz="4" w:space="0" w:color="auto"/>
            </w:tcBorders>
            <w:noWrap/>
            <w:vAlign w:val="center"/>
            <w:hideMark/>
          </w:tcPr>
          <w:p w14:paraId="57DD16E7" w14:textId="77777777" w:rsidR="002774B6" w:rsidRPr="002774B6" w:rsidRDefault="002774B6" w:rsidP="00502250">
            <w:pPr>
              <w:spacing w:after="0" w:line="240" w:lineRule="auto"/>
              <w:jc w:val="center"/>
              <w:rPr>
                <w:rFonts w:ascii="Times New Roman" w:eastAsia="Times New Roman" w:hAnsi="Times New Roman" w:cs="Times New Roman"/>
                <w:b/>
                <w:bCs/>
                <w:sz w:val="18"/>
                <w:szCs w:val="18"/>
                <w:lang w:eastAsia="en-IN" w:bidi="bn-IN"/>
              </w:rPr>
            </w:pPr>
          </w:p>
        </w:tc>
        <w:tc>
          <w:tcPr>
            <w:tcW w:w="904" w:type="dxa"/>
            <w:gridSpan w:val="2"/>
            <w:tcBorders>
              <w:top w:val="nil"/>
              <w:left w:val="nil"/>
              <w:bottom w:val="single" w:sz="4" w:space="0" w:color="auto"/>
              <w:right w:val="single" w:sz="4" w:space="0" w:color="auto"/>
            </w:tcBorders>
            <w:noWrap/>
            <w:vAlign w:val="center"/>
            <w:hideMark/>
          </w:tcPr>
          <w:p w14:paraId="57C4803F" w14:textId="77777777" w:rsidR="002774B6" w:rsidRPr="002774B6" w:rsidRDefault="002774B6" w:rsidP="00502250">
            <w:pPr>
              <w:spacing w:after="0" w:line="240" w:lineRule="auto"/>
              <w:jc w:val="center"/>
              <w:rPr>
                <w:rFonts w:ascii="Times New Roman" w:eastAsia="Times New Roman" w:hAnsi="Times New Roman" w:cs="Times New Roman"/>
                <w:b/>
                <w:bCs/>
                <w:sz w:val="18"/>
                <w:szCs w:val="18"/>
                <w:lang w:eastAsia="en-IN" w:bidi="bn-IN"/>
              </w:rPr>
            </w:pPr>
          </w:p>
        </w:tc>
        <w:tc>
          <w:tcPr>
            <w:tcW w:w="936" w:type="dxa"/>
            <w:gridSpan w:val="3"/>
            <w:tcBorders>
              <w:top w:val="nil"/>
              <w:left w:val="nil"/>
              <w:bottom w:val="single" w:sz="4" w:space="0" w:color="auto"/>
              <w:right w:val="single" w:sz="4" w:space="0" w:color="auto"/>
            </w:tcBorders>
            <w:noWrap/>
            <w:vAlign w:val="center"/>
            <w:hideMark/>
          </w:tcPr>
          <w:p w14:paraId="2878D30B" w14:textId="77777777" w:rsidR="002774B6" w:rsidRPr="002774B6" w:rsidRDefault="002774B6" w:rsidP="00502250">
            <w:pPr>
              <w:spacing w:after="0" w:line="240" w:lineRule="auto"/>
              <w:jc w:val="center"/>
              <w:rPr>
                <w:rFonts w:ascii="Times New Roman" w:eastAsia="Times New Roman" w:hAnsi="Times New Roman" w:cs="Times New Roman"/>
                <w:b/>
                <w:bCs/>
                <w:sz w:val="18"/>
                <w:szCs w:val="18"/>
                <w:lang w:eastAsia="en-IN" w:bidi="bn-IN"/>
              </w:rPr>
            </w:pPr>
          </w:p>
        </w:tc>
        <w:tc>
          <w:tcPr>
            <w:tcW w:w="846" w:type="dxa"/>
            <w:gridSpan w:val="2"/>
            <w:tcBorders>
              <w:top w:val="nil"/>
              <w:left w:val="nil"/>
              <w:bottom w:val="single" w:sz="4" w:space="0" w:color="auto"/>
              <w:right w:val="single" w:sz="4" w:space="0" w:color="auto"/>
            </w:tcBorders>
            <w:noWrap/>
            <w:vAlign w:val="center"/>
            <w:hideMark/>
          </w:tcPr>
          <w:p w14:paraId="3E4524E3" w14:textId="77777777" w:rsidR="002774B6" w:rsidRPr="002774B6" w:rsidRDefault="002774B6" w:rsidP="00502250">
            <w:pPr>
              <w:spacing w:after="0" w:line="240" w:lineRule="auto"/>
              <w:jc w:val="center"/>
              <w:rPr>
                <w:rFonts w:ascii="Times New Roman" w:eastAsia="Times New Roman" w:hAnsi="Times New Roman" w:cs="Times New Roman"/>
                <w:b/>
                <w:bCs/>
                <w:sz w:val="18"/>
                <w:szCs w:val="18"/>
                <w:lang w:eastAsia="en-IN" w:bidi="bn-IN"/>
              </w:rPr>
            </w:pPr>
          </w:p>
        </w:tc>
        <w:tc>
          <w:tcPr>
            <w:tcW w:w="845" w:type="dxa"/>
            <w:gridSpan w:val="2"/>
            <w:tcBorders>
              <w:top w:val="nil"/>
              <w:left w:val="nil"/>
              <w:bottom w:val="single" w:sz="4" w:space="0" w:color="auto"/>
              <w:right w:val="single" w:sz="4" w:space="0" w:color="auto"/>
            </w:tcBorders>
            <w:noWrap/>
            <w:vAlign w:val="center"/>
            <w:hideMark/>
          </w:tcPr>
          <w:p w14:paraId="7DA4F4C6" w14:textId="77777777" w:rsidR="002774B6" w:rsidRPr="002774B6" w:rsidRDefault="002774B6" w:rsidP="00502250">
            <w:pPr>
              <w:spacing w:after="0" w:line="240" w:lineRule="auto"/>
              <w:jc w:val="center"/>
              <w:rPr>
                <w:rFonts w:ascii="Times New Roman" w:eastAsia="Times New Roman" w:hAnsi="Times New Roman" w:cs="Times New Roman"/>
                <w:b/>
                <w:bCs/>
                <w:sz w:val="18"/>
                <w:szCs w:val="18"/>
                <w:lang w:eastAsia="en-IN" w:bidi="bn-IN"/>
              </w:rPr>
            </w:pPr>
          </w:p>
        </w:tc>
        <w:tc>
          <w:tcPr>
            <w:tcW w:w="871" w:type="dxa"/>
            <w:gridSpan w:val="4"/>
            <w:tcBorders>
              <w:top w:val="nil"/>
              <w:left w:val="nil"/>
              <w:bottom w:val="single" w:sz="4" w:space="0" w:color="auto"/>
              <w:right w:val="single" w:sz="4" w:space="0" w:color="auto"/>
            </w:tcBorders>
            <w:noWrap/>
            <w:vAlign w:val="center"/>
            <w:hideMark/>
          </w:tcPr>
          <w:p w14:paraId="3C4F47BE" w14:textId="77777777" w:rsidR="002774B6" w:rsidRPr="002774B6" w:rsidRDefault="002774B6" w:rsidP="00502250">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2020-21</w:t>
            </w:r>
          </w:p>
        </w:tc>
        <w:tc>
          <w:tcPr>
            <w:tcW w:w="828" w:type="dxa"/>
            <w:gridSpan w:val="2"/>
            <w:tcBorders>
              <w:top w:val="nil"/>
              <w:left w:val="nil"/>
              <w:bottom w:val="single" w:sz="4" w:space="0" w:color="auto"/>
              <w:right w:val="single" w:sz="4" w:space="0" w:color="auto"/>
            </w:tcBorders>
            <w:noWrap/>
            <w:vAlign w:val="center"/>
            <w:hideMark/>
          </w:tcPr>
          <w:p w14:paraId="48800895" w14:textId="77777777" w:rsidR="002774B6" w:rsidRPr="002774B6" w:rsidRDefault="002774B6" w:rsidP="00502250">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2021-22</w:t>
            </w:r>
          </w:p>
        </w:tc>
        <w:tc>
          <w:tcPr>
            <w:tcW w:w="851" w:type="dxa"/>
            <w:gridSpan w:val="2"/>
            <w:tcBorders>
              <w:top w:val="nil"/>
              <w:left w:val="nil"/>
              <w:bottom w:val="single" w:sz="4" w:space="0" w:color="auto"/>
              <w:right w:val="single" w:sz="4" w:space="0" w:color="auto"/>
            </w:tcBorders>
            <w:noWrap/>
            <w:vAlign w:val="center"/>
            <w:hideMark/>
          </w:tcPr>
          <w:p w14:paraId="72D61DAF" w14:textId="77777777" w:rsidR="002774B6" w:rsidRPr="002774B6" w:rsidRDefault="002774B6" w:rsidP="00502250">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2022-23</w:t>
            </w:r>
          </w:p>
        </w:tc>
        <w:tc>
          <w:tcPr>
            <w:tcW w:w="850" w:type="dxa"/>
            <w:gridSpan w:val="3"/>
            <w:tcBorders>
              <w:top w:val="nil"/>
              <w:left w:val="nil"/>
              <w:bottom w:val="single" w:sz="4" w:space="0" w:color="auto"/>
              <w:right w:val="single" w:sz="4" w:space="0" w:color="auto"/>
            </w:tcBorders>
            <w:noWrap/>
            <w:vAlign w:val="center"/>
            <w:hideMark/>
          </w:tcPr>
          <w:p w14:paraId="1B3DAF73" w14:textId="77777777" w:rsidR="002774B6" w:rsidRPr="002774B6" w:rsidRDefault="002774B6" w:rsidP="00502250">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2023-24</w:t>
            </w:r>
          </w:p>
        </w:tc>
      </w:tr>
      <w:tr w:rsidR="002774B6" w:rsidRPr="002774B6" w14:paraId="2989108A" w14:textId="77777777" w:rsidTr="005C2FC6">
        <w:trPr>
          <w:gridAfter w:val="1"/>
          <w:wAfter w:w="170" w:type="dxa"/>
          <w:trHeight w:val="255"/>
        </w:trPr>
        <w:tc>
          <w:tcPr>
            <w:tcW w:w="582" w:type="dxa"/>
            <w:gridSpan w:val="3"/>
            <w:tcBorders>
              <w:top w:val="single" w:sz="4" w:space="0" w:color="auto"/>
              <w:left w:val="single" w:sz="4" w:space="0" w:color="auto"/>
              <w:bottom w:val="single" w:sz="4" w:space="0" w:color="auto"/>
              <w:right w:val="single" w:sz="4" w:space="0" w:color="auto"/>
            </w:tcBorders>
            <w:noWrap/>
            <w:vAlign w:val="bottom"/>
            <w:hideMark/>
          </w:tcPr>
          <w:p w14:paraId="64A48E33" w14:textId="77777777" w:rsidR="002774B6" w:rsidRPr="002774B6" w:rsidRDefault="002774B6" w:rsidP="002774B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w:t>
            </w:r>
          </w:p>
        </w:tc>
        <w:tc>
          <w:tcPr>
            <w:tcW w:w="2963" w:type="dxa"/>
            <w:gridSpan w:val="5"/>
            <w:tcBorders>
              <w:top w:val="nil"/>
              <w:left w:val="nil"/>
              <w:bottom w:val="single" w:sz="4" w:space="0" w:color="auto"/>
              <w:right w:val="single" w:sz="4" w:space="0" w:color="auto"/>
            </w:tcBorders>
            <w:noWrap/>
            <w:vAlign w:val="bottom"/>
            <w:hideMark/>
          </w:tcPr>
          <w:p w14:paraId="17F01711" w14:textId="77777777" w:rsidR="002774B6" w:rsidRPr="002774B6" w:rsidRDefault="002774B6" w:rsidP="002774B6">
            <w:pPr>
              <w:spacing w:after="0" w:line="240" w:lineRule="auto"/>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PETROLEUM PRODUCTS</w:t>
            </w:r>
          </w:p>
        </w:tc>
        <w:tc>
          <w:tcPr>
            <w:tcW w:w="1148" w:type="dxa"/>
            <w:gridSpan w:val="2"/>
            <w:tcBorders>
              <w:top w:val="single" w:sz="4" w:space="0" w:color="auto"/>
              <w:left w:val="nil"/>
              <w:bottom w:val="single" w:sz="4" w:space="0" w:color="auto"/>
              <w:right w:val="single" w:sz="4" w:space="0" w:color="auto"/>
            </w:tcBorders>
            <w:noWrap/>
            <w:vAlign w:val="center"/>
            <w:hideMark/>
          </w:tcPr>
          <w:p w14:paraId="70B1A729"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731.68</w:t>
            </w:r>
          </w:p>
        </w:tc>
        <w:tc>
          <w:tcPr>
            <w:tcW w:w="904" w:type="dxa"/>
            <w:gridSpan w:val="2"/>
            <w:tcBorders>
              <w:top w:val="single" w:sz="4" w:space="0" w:color="auto"/>
              <w:left w:val="nil"/>
              <w:bottom w:val="single" w:sz="4" w:space="0" w:color="auto"/>
              <w:right w:val="single" w:sz="4" w:space="0" w:color="auto"/>
            </w:tcBorders>
            <w:noWrap/>
            <w:vAlign w:val="center"/>
            <w:hideMark/>
          </w:tcPr>
          <w:p w14:paraId="6A66D4BD"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1420.73</w:t>
            </w:r>
          </w:p>
        </w:tc>
        <w:tc>
          <w:tcPr>
            <w:tcW w:w="936" w:type="dxa"/>
            <w:gridSpan w:val="3"/>
            <w:tcBorders>
              <w:top w:val="single" w:sz="4" w:space="0" w:color="auto"/>
              <w:left w:val="nil"/>
              <w:bottom w:val="single" w:sz="4" w:space="0" w:color="auto"/>
              <w:right w:val="single" w:sz="4" w:space="0" w:color="auto"/>
            </w:tcBorders>
            <w:noWrap/>
            <w:vAlign w:val="center"/>
            <w:hideMark/>
          </w:tcPr>
          <w:p w14:paraId="05FC58D1"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1821.37</w:t>
            </w:r>
          </w:p>
        </w:tc>
        <w:tc>
          <w:tcPr>
            <w:tcW w:w="846" w:type="dxa"/>
            <w:gridSpan w:val="2"/>
            <w:tcBorders>
              <w:top w:val="single" w:sz="4" w:space="0" w:color="auto"/>
              <w:left w:val="nil"/>
              <w:bottom w:val="single" w:sz="4" w:space="0" w:color="auto"/>
              <w:right w:val="single" w:sz="4" w:space="0" w:color="auto"/>
            </w:tcBorders>
            <w:noWrap/>
            <w:vAlign w:val="center"/>
            <w:hideMark/>
          </w:tcPr>
          <w:p w14:paraId="3CE7EA98"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1247.15</w:t>
            </w:r>
          </w:p>
        </w:tc>
        <w:tc>
          <w:tcPr>
            <w:tcW w:w="845" w:type="dxa"/>
            <w:gridSpan w:val="2"/>
            <w:tcBorders>
              <w:top w:val="single" w:sz="4" w:space="0" w:color="auto"/>
              <w:left w:val="nil"/>
              <w:bottom w:val="single" w:sz="4" w:space="0" w:color="auto"/>
              <w:right w:val="single" w:sz="4" w:space="0" w:color="auto"/>
            </w:tcBorders>
            <w:noWrap/>
            <w:vAlign w:val="center"/>
            <w:hideMark/>
          </w:tcPr>
          <w:p w14:paraId="281FAA8D"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610.88</w:t>
            </w:r>
          </w:p>
        </w:tc>
        <w:tc>
          <w:tcPr>
            <w:tcW w:w="871" w:type="dxa"/>
            <w:gridSpan w:val="4"/>
            <w:tcBorders>
              <w:top w:val="single" w:sz="4" w:space="0" w:color="auto"/>
              <w:left w:val="nil"/>
              <w:bottom w:val="single" w:sz="4" w:space="0" w:color="auto"/>
              <w:right w:val="single" w:sz="4" w:space="0" w:color="auto"/>
            </w:tcBorders>
            <w:noWrap/>
            <w:vAlign w:val="center"/>
            <w:hideMark/>
          </w:tcPr>
          <w:p w14:paraId="61DEBB30"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94.17</w:t>
            </w:r>
          </w:p>
        </w:tc>
        <w:tc>
          <w:tcPr>
            <w:tcW w:w="828" w:type="dxa"/>
            <w:gridSpan w:val="2"/>
            <w:tcBorders>
              <w:top w:val="single" w:sz="4" w:space="0" w:color="auto"/>
              <w:left w:val="nil"/>
              <w:bottom w:val="single" w:sz="4" w:space="0" w:color="auto"/>
              <w:right w:val="single" w:sz="4" w:space="0" w:color="auto"/>
            </w:tcBorders>
            <w:noWrap/>
            <w:vAlign w:val="center"/>
            <w:hideMark/>
          </w:tcPr>
          <w:p w14:paraId="38C003B8"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28.20</w:t>
            </w:r>
          </w:p>
        </w:tc>
        <w:tc>
          <w:tcPr>
            <w:tcW w:w="851" w:type="dxa"/>
            <w:gridSpan w:val="2"/>
            <w:tcBorders>
              <w:top w:val="single" w:sz="4" w:space="0" w:color="auto"/>
              <w:left w:val="nil"/>
              <w:bottom w:val="single" w:sz="4" w:space="0" w:color="auto"/>
              <w:right w:val="single" w:sz="4" w:space="0" w:color="auto"/>
            </w:tcBorders>
            <w:noWrap/>
            <w:vAlign w:val="center"/>
            <w:hideMark/>
          </w:tcPr>
          <w:p w14:paraId="395B772C"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-31.53</w:t>
            </w:r>
          </w:p>
        </w:tc>
        <w:tc>
          <w:tcPr>
            <w:tcW w:w="850" w:type="dxa"/>
            <w:gridSpan w:val="3"/>
            <w:tcBorders>
              <w:top w:val="single" w:sz="4" w:space="0" w:color="auto"/>
              <w:left w:val="nil"/>
              <w:bottom w:val="single" w:sz="4" w:space="0" w:color="auto"/>
              <w:right w:val="single" w:sz="4" w:space="0" w:color="auto"/>
            </w:tcBorders>
            <w:noWrap/>
            <w:vAlign w:val="center"/>
            <w:hideMark/>
          </w:tcPr>
          <w:p w14:paraId="04F797D9"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-51.02</w:t>
            </w:r>
          </w:p>
        </w:tc>
      </w:tr>
      <w:tr w:rsidR="002774B6" w:rsidRPr="002774B6" w14:paraId="4B3E8993" w14:textId="77777777" w:rsidTr="005C2FC6">
        <w:trPr>
          <w:gridAfter w:val="1"/>
          <w:wAfter w:w="170" w:type="dxa"/>
          <w:trHeight w:val="255"/>
        </w:trPr>
        <w:tc>
          <w:tcPr>
            <w:tcW w:w="582" w:type="dxa"/>
            <w:gridSpan w:val="3"/>
            <w:tcBorders>
              <w:top w:val="nil"/>
              <w:left w:val="single" w:sz="4" w:space="0" w:color="auto"/>
              <w:bottom w:val="single" w:sz="4" w:space="0" w:color="auto"/>
              <w:right w:val="single" w:sz="4" w:space="0" w:color="auto"/>
            </w:tcBorders>
            <w:noWrap/>
            <w:vAlign w:val="bottom"/>
            <w:hideMark/>
          </w:tcPr>
          <w:p w14:paraId="0A4C3429" w14:textId="77777777" w:rsidR="002774B6" w:rsidRPr="002774B6" w:rsidRDefault="002774B6" w:rsidP="002774B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 </w:t>
            </w:r>
          </w:p>
        </w:tc>
        <w:tc>
          <w:tcPr>
            <w:tcW w:w="2963" w:type="dxa"/>
            <w:gridSpan w:val="5"/>
            <w:tcBorders>
              <w:top w:val="nil"/>
              <w:left w:val="nil"/>
              <w:bottom w:val="single" w:sz="4" w:space="0" w:color="auto"/>
              <w:right w:val="single" w:sz="4" w:space="0" w:color="auto"/>
            </w:tcBorders>
            <w:noWrap/>
            <w:vAlign w:val="center"/>
            <w:hideMark/>
          </w:tcPr>
          <w:p w14:paraId="2879BAF3" w14:textId="77777777" w:rsidR="002774B6" w:rsidRPr="002774B6" w:rsidRDefault="002774B6" w:rsidP="002774B6">
            <w:pPr>
              <w:spacing w:after="0" w:line="240" w:lineRule="auto"/>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Share in total export</w:t>
            </w:r>
          </w:p>
        </w:tc>
        <w:tc>
          <w:tcPr>
            <w:tcW w:w="1148" w:type="dxa"/>
            <w:gridSpan w:val="2"/>
            <w:tcBorders>
              <w:top w:val="nil"/>
              <w:left w:val="nil"/>
              <w:bottom w:val="single" w:sz="4" w:space="0" w:color="auto"/>
              <w:right w:val="single" w:sz="4" w:space="0" w:color="auto"/>
            </w:tcBorders>
            <w:noWrap/>
            <w:vAlign w:val="center"/>
            <w:hideMark/>
          </w:tcPr>
          <w:p w14:paraId="6105BCA4"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59.42</w:t>
            </w:r>
          </w:p>
        </w:tc>
        <w:tc>
          <w:tcPr>
            <w:tcW w:w="904" w:type="dxa"/>
            <w:gridSpan w:val="2"/>
            <w:tcBorders>
              <w:top w:val="nil"/>
              <w:left w:val="nil"/>
              <w:bottom w:val="single" w:sz="4" w:space="0" w:color="auto"/>
              <w:right w:val="single" w:sz="4" w:space="0" w:color="auto"/>
            </w:tcBorders>
            <w:noWrap/>
            <w:vAlign w:val="center"/>
            <w:hideMark/>
          </w:tcPr>
          <w:p w14:paraId="3422BA8B"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71.91</w:t>
            </w:r>
          </w:p>
        </w:tc>
        <w:tc>
          <w:tcPr>
            <w:tcW w:w="936" w:type="dxa"/>
            <w:gridSpan w:val="3"/>
            <w:tcBorders>
              <w:top w:val="nil"/>
              <w:left w:val="nil"/>
              <w:bottom w:val="single" w:sz="4" w:space="0" w:color="auto"/>
              <w:right w:val="single" w:sz="4" w:space="0" w:color="auto"/>
            </w:tcBorders>
            <w:noWrap/>
            <w:vAlign w:val="center"/>
            <w:hideMark/>
          </w:tcPr>
          <w:p w14:paraId="335B2D9B"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72.67</w:t>
            </w:r>
          </w:p>
        </w:tc>
        <w:tc>
          <w:tcPr>
            <w:tcW w:w="846" w:type="dxa"/>
            <w:gridSpan w:val="2"/>
            <w:tcBorders>
              <w:top w:val="nil"/>
              <w:left w:val="nil"/>
              <w:bottom w:val="single" w:sz="4" w:space="0" w:color="auto"/>
              <w:right w:val="single" w:sz="4" w:space="0" w:color="auto"/>
            </w:tcBorders>
            <w:noWrap/>
            <w:vAlign w:val="center"/>
            <w:hideMark/>
          </w:tcPr>
          <w:p w14:paraId="4BF1553F"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62.48</w:t>
            </w:r>
          </w:p>
        </w:tc>
        <w:tc>
          <w:tcPr>
            <w:tcW w:w="845" w:type="dxa"/>
            <w:gridSpan w:val="2"/>
            <w:tcBorders>
              <w:top w:val="nil"/>
              <w:left w:val="nil"/>
              <w:bottom w:val="single" w:sz="4" w:space="0" w:color="auto"/>
              <w:right w:val="single" w:sz="4" w:space="0" w:color="auto"/>
            </w:tcBorders>
            <w:noWrap/>
            <w:vAlign w:val="center"/>
            <w:hideMark/>
          </w:tcPr>
          <w:p w14:paraId="046025BC"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46.16</w:t>
            </w:r>
          </w:p>
        </w:tc>
        <w:tc>
          <w:tcPr>
            <w:tcW w:w="871" w:type="dxa"/>
            <w:gridSpan w:val="4"/>
            <w:tcBorders>
              <w:top w:val="nil"/>
              <w:left w:val="nil"/>
              <w:bottom w:val="single" w:sz="4" w:space="0" w:color="auto"/>
              <w:right w:val="single" w:sz="4" w:space="0" w:color="auto"/>
            </w:tcBorders>
            <w:noWrap/>
            <w:vAlign w:val="center"/>
            <w:hideMark/>
          </w:tcPr>
          <w:p w14:paraId="77945A96"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28" w:type="dxa"/>
            <w:gridSpan w:val="2"/>
            <w:tcBorders>
              <w:top w:val="nil"/>
              <w:left w:val="nil"/>
              <w:bottom w:val="single" w:sz="4" w:space="0" w:color="auto"/>
              <w:right w:val="single" w:sz="4" w:space="0" w:color="auto"/>
            </w:tcBorders>
            <w:noWrap/>
            <w:vAlign w:val="center"/>
            <w:hideMark/>
          </w:tcPr>
          <w:p w14:paraId="11641CAA"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51" w:type="dxa"/>
            <w:gridSpan w:val="2"/>
            <w:tcBorders>
              <w:top w:val="nil"/>
              <w:left w:val="nil"/>
              <w:bottom w:val="single" w:sz="4" w:space="0" w:color="auto"/>
              <w:right w:val="single" w:sz="4" w:space="0" w:color="auto"/>
            </w:tcBorders>
            <w:noWrap/>
            <w:vAlign w:val="center"/>
            <w:hideMark/>
          </w:tcPr>
          <w:p w14:paraId="48AC5616"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50" w:type="dxa"/>
            <w:gridSpan w:val="3"/>
            <w:tcBorders>
              <w:top w:val="nil"/>
              <w:left w:val="nil"/>
              <w:bottom w:val="single" w:sz="4" w:space="0" w:color="auto"/>
              <w:right w:val="single" w:sz="4" w:space="0" w:color="auto"/>
            </w:tcBorders>
            <w:noWrap/>
            <w:vAlign w:val="center"/>
            <w:hideMark/>
          </w:tcPr>
          <w:p w14:paraId="166F69E7"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r>
      <w:tr w:rsidR="002774B6" w:rsidRPr="002774B6" w14:paraId="73CC05F2" w14:textId="77777777" w:rsidTr="005C2FC6">
        <w:trPr>
          <w:gridAfter w:val="1"/>
          <w:wAfter w:w="170" w:type="dxa"/>
          <w:trHeight w:val="255"/>
        </w:trPr>
        <w:tc>
          <w:tcPr>
            <w:tcW w:w="582" w:type="dxa"/>
            <w:gridSpan w:val="3"/>
            <w:tcBorders>
              <w:top w:val="nil"/>
              <w:left w:val="single" w:sz="4" w:space="0" w:color="auto"/>
              <w:bottom w:val="single" w:sz="4" w:space="0" w:color="auto"/>
              <w:right w:val="single" w:sz="4" w:space="0" w:color="auto"/>
            </w:tcBorders>
            <w:noWrap/>
            <w:vAlign w:val="bottom"/>
            <w:hideMark/>
          </w:tcPr>
          <w:p w14:paraId="3930B142" w14:textId="77777777" w:rsidR="002774B6" w:rsidRPr="002774B6" w:rsidRDefault="002774B6" w:rsidP="002774B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w:t>
            </w:r>
          </w:p>
        </w:tc>
        <w:tc>
          <w:tcPr>
            <w:tcW w:w="2963" w:type="dxa"/>
            <w:gridSpan w:val="5"/>
            <w:tcBorders>
              <w:top w:val="nil"/>
              <w:left w:val="nil"/>
              <w:bottom w:val="single" w:sz="4" w:space="0" w:color="auto"/>
              <w:right w:val="single" w:sz="4" w:space="0" w:color="auto"/>
            </w:tcBorders>
            <w:noWrap/>
            <w:vAlign w:val="bottom"/>
            <w:hideMark/>
          </w:tcPr>
          <w:p w14:paraId="1C0CF730" w14:textId="77777777" w:rsidR="002774B6" w:rsidRPr="002774B6" w:rsidRDefault="002774B6" w:rsidP="002774B6">
            <w:pPr>
              <w:spacing w:after="0" w:line="240" w:lineRule="auto"/>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DRUG FORMULATIONS, BIOLOGICALS</w:t>
            </w:r>
          </w:p>
        </w:tc>
        <w:tc>
          <w:tcPr>
            <w:tcW w:w="1148" w:type="dxa"/>
            <w:gridSpan w:val="2"/>
            <w:tcBorders>
              <w:top w:val="nil"/>
              <w:left w:val="nil"/>
              <w:bottom w:val="single" w:sz="4" w:space="0" w:color="auto"/>
              <w:right w:val="single" w:sz="4" w:space="0" w:color="auto"/>
            </w:tcBorders>
            <w:noWrap/>
            <w:vAlign w:val="center"/>
            <w:hideMark/>
          </w:tcPr>
          <w:p w14:paraId="3873A77B"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134.94</w:t>
            </w:r>
          </w:p>
        </w:tc>
        <w:tc>
          <w:tcPr>
            <w:tcW w:w="904" w:type="dxa"/>
            <w:gridSpan w:val="2"/>
            <w:tcBorders>
              <w:top w:val="nil"/>
              <w:left w:val="nil"/>
              <w:bottom w:val="single" w:sz="4" w:space="0" w:color="auto"/>
              <w:right w:val="single" w:sz="4" w:space="0" w:color="auto"/>
            </w:tcBorders>
            <w:noWrap/>
            <w:vAlign w:val="center"/>
            <w:hideMark/>
          </w:tcPr>
          <w:p w14:paraId="47ECF89E"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132.03</w:t>
            </w:r>
          </w:p>
        </w:tc>
        <w:tc>
          <w:tcPr>
            <w:tcW w:w="936" w:type="dxa"/>
            <w:gridSpan w:val="3"/>
            <w:tcBorders>
              <w:top w:val="nil"/>
              <w:left w:val="nil"/>
              <w:bottom w:val="single" w:sz="4" w:space="0" w:color="auto"/>
              <w:right w:val="single" w:sz="4" w:space="0" w:color="auto"/>
            </w:tcBorders>
            <w:noWrap/>
            <w:vAlign w:val="center"/>
            <w:hideMark/>
          </w:tcPr>
          <w:p w14:paraId="690AA48E"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131.95</w:t>
            </w:r>
          </w:p>
        </w:tc>
        <w:tc>
          <w:tcPr>
            <w:tcW w:w="846" w:type="dxa"/>
            <w:gridSpan w:val="2"/>
            <w:tcBorders>
              <w:top w:val="nil"/>
              <w:left w:val="nil"/>
              <w:bottom w:val="single" w:sz="4" w:space="0" w:color="auto"/>
              <w:right w:val="single" w:sz="4" w:space="0" w:color="auto"/>
            </w:tcBorders>
            <w:noWrap/>
            <w:vAlign w:val="center"/>
            <w:hideMark/>
          </w:tcPr>
          <w:p w14:paraId="5857CFA6"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180.60</w:t>
            </w:r>
          </w:p>
        </w:tc>
        <w:tc>
          <w:tcPr>
            <w:tcW w:w="845" w:type="dxa"/>
            <w:gridSpan w:val="2"/>
            <w:tcBorders>
              <w:top w:val="nil"/>
              <w:left w:val="nil"/>
              <w:bottom w:val="single" w:sz="4" w:space="0" w:color="auto"/>
              <w:right w:val="single" w:sz="4" w:space="0" w:color="auto"/>
            </w:tcBorders>
            <w:noWrap/>
            <w:vAlign w:val="center"/>
            <w:hideMark/>
          </w:tcPr>
          <w:p w14:paraId="3BC5FB02"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143.20</w:t>
            </w:r>
          </w:p>
        </w:tc>
        <w:tc>
          <w:tcPr>
            <w:tcW w:w="871" w:type="dxa"/>
            <w:gridSpan w:val="4"/>
            <w:tcBorders>
              <w:top w:val="nil"/>
              <w:left w:val="nil"/>
              <w:bottom w:val="single" w:sz="4" w:space="0" w:color="auto"/>
              <w:right w:val="single" w:sz="4" w:space="0" w:color="auto"/>
            </w:tcBorders>
            <w:noWrap/>
            <w:vAlign w:val="center"/>
            <w:hideMark/>
          </w:tcPr>
          <w:p w14:paraId="353B3E30"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-2.16</w:t>
            </w:r>
          </w:p>
        </w:tc>
        <w:tc>
          <w:tcPr>
            <w:tcW w:w="828" w:type="dxa"/>
            <w:gridSpan w:val="2"/>
            <w:tcBorders>
              <w:top w:val="nil"/>
              <w:left w:val="nil"/>
              <w:bottom w:val="single" w:sz="4" w:space="0" w:color="auto"/>
              <w:right w:val="single" w:sz="4" w:space="0" w:color="auto"/>
            </w:tcBorders>
            <w:noWrap/>
            <w:vAlign w:val="center"/>
            <w:hideMark/>
          </w:tcPr>
          <w:p w14:paraId="3CCD95B3"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-0.06</w:t>
            </w:r>
          </w:p>
        </w:tc>
        <w:tc>
          <w:tcPr>
            <w:tcW w:w="851" w:type="dxa"/>
            <w:gridSpan w:val="2"/>
            <w:tcBorders>
              <w:top w:val="nil"/>
              <w:left w:val="nil"/>
              <w:bottom w:val="single" w:sz="4" w:space="0" w:color="auto"/>
              <w:right w:val="single" w:sz="4" w:space="0" w:color="auto"/>
            </w:tcBorders>
            <w:noWrap/>
            <w:vAlign w:val="center"/>
            <w:hideMark/>
          </w:tcPr>
          <w:p w14:paraId="35F4BAD6"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36.87</w:t>
            </w:r>
          </w:p>
        </w:tc>
        <w:tc>
          <w:tcPr>
            <w:tcW w:w="850" w:type="dxa"/>
            <w:gridSpan w:val="3"/>
            <w:tcBorders>
              <w:top w:val="nil"/>
              <w:left w:val="nil"/>
              <w:bottom w:val="single" w:sz="4" w:space="0" w:color="auto"/>
              <w:right w:val="single" w:sz="4" w:space="0" w:color="auto"/>
            </w:tcBorders>
            <w:noWrap/>
            <w:vAlign w:val="center"/>
            <w:hideMark/>
          </w:tcPr>
          <w:p w14:paraId="08B0702C"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-20.71</w:t>
            </w:r>
          </w:p>
        </w:tc>
      </w:tr>
      <w:tr w:rsidR="002774B6" w:rsidRPr="002774B6" w14:paraId="65E37B8B" w14:textId="77777777" w:rsidTr="005C2FC6">
        <w:trPr>
          <w:gridAfter w:val="1"/>
          <w:wAfter w:w="170" w:type="dxa"/>
          <w:trHeight w:val="255"/>
        </w:trPr>
        <w:tc>
          <w:tcPr>
            <w:tcW w:w="582" w:type="dxa"/>
            <w:gridSpan w:val="3"/>
            <w:tcBorders>
              <w:top w:val="nil"/>
              <w:left w:val="single" w:sz="4" w:space="0" w:color="auto"/>
              <w:bottom w:val="single" w:sz="4" w:space="0" w:color="auto"/>
              <w:right w:val="single" w:sz="4" w:space="0" w:color="auto"/>
            </w:tcBorders>
            <w:noWrap/>
            <w:vAlign w:val="bottom"/>
            <w:hideMark/>
          </w:tcPr>
          <w:p w14:paraId="750D1D6E" w14:textId="77777777" w:rsidR="002774B6" w:rsidRPr="002774B6" w:rsidRDefault="002774B6" w:rsidP="002774B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 </w:t>
            </w:r>
          </w:p>
        </w:tc>
        <w:tc>
          <w:tcPr>
            <w:tcW w:w="2963" w:type="dxa"/>
            <w:gridSpan w:val="5"/>
            <w:tcBorders>
              <w:top w:val="nil"/>
              <w:left w:val="nil"/>
              <w:bottom w:val="single" w:sz="4" w:space="0" w:color="auto"/>
              <w:right w:val="single" w:sz="4" w:space="0" w:color="auto"/>
            </w:tcBorders>
            <w:noWrap/>
            <w:vAlign w:val="center"/>
            <w:hideMark/>
          </w:tcPr>
          <w:p w14:paraId="132F035E" w14:textId="77777777" w:rsidR="002774B6" w:rsidRPr="002774B6" w:rsidRDefault="002774B6" w:rsidP="002774B6">
            <w:pPr>
              <w:spacing w:after="0" w:line="240" w:lineRule="auto"/>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Share in total export</w:t>
            </w:r>
          </w:p>
        </w:tc>
        <w:tc>
          <w:tcPr>
            <w:tcW w:w="1148" w:type="dxa"/>
            <w:gridSpan w:val="2"/>
            <w:tcBorders>
              <w:top w:val="nil"/>
              <w:left w:val="nil"/>
              <w:bottom w:val="single" w:sz="4" w:space="0" w:color="auto"/>
              <w:right w:val="single" w:sz="4" w:space="0" w:color="auto"/>
            </w:tcBorders>
            <w:noWrap/>
            <w:vAlign w:val="center"/>
            <w:hideMark/>
          </w:tcPr>
          <w:p w14:paraId="0DA0F11D"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10.96</w:t>
            </w:r>
          </w:p>
        </w:tc>
        <w:tc>
          <w:tcPr>
            <w:tcW w:w="904" w:type="dxa"/>
            <w:gridSpan w:val="2"/>
            <w:tcBorders>
              <w:top w:val="nil"/>
              <w:left w:val="nil"/>
              <w:bottom w:val="single" w:sz="4" w:space="0" w:color="auto"/>
              <w:right w:val="single" w:sz="4" w:space="0" w:color="auto"/>
            </w:tcBorders>
            <w:noWrap/>
            <w:vAlign w:val="center"/>
            <w:hideMark/>
          </w:tcPr>
          <w:p w14:paraId="724E8F58"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6.68</w:t>
            </w:r>
          </w:p>
        </w:tc>
        <w:tc>
          <w:tcPr>
            <w:tcW w:w="936" w:type="dxa"/>
            <w:gridSpan w:val="3"/>
            <w:tcBorders>
              <w:top w:val="nil"/>
              <w:left w:val="nil"/>
              <w:bottom w:val="single" w:sz="4" w:space="0" w:color="auto"/>
              <w:right w:val="single" w:sz="4" w:space="0" w:color="auto"/>
            </w:tcBorders>
            <w:noWrap/>
            <w:vAlign w:val="center"/>
            <w:hideMark/>
          </w:tcPr>
          <w:p w14:paraId="4ADE0A72"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5.26</w:t>
            </w:r>
          </w:p>
        </w:tc>
        <w:tc>
          <w:tcPr>
            <w:tcW w:w="846" w:type="dxa"/>
            <w:gridSpan w:val="2"/>
            <w:tcBorders>
              <w:top w:val="nil"/>
              <w:left w:val="nil"/>
              <w:bottom w:val="single" w:sz="4" w:space="0" w:color="auto"/>
              <w:right w:val="single" w:sz="4" w:space="0" w:color="auto"/>
            </w:tcBorders>
            <w:noWrap/>
            <w:vAlign w:val="center"/>
            <w:hideMark/>
          </w:tcPr>
          <w:p w14:paraId="43438B69"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9.05</w:t>
            </w:r>
          </w:p>
        </w:tc>
        <w:tc>
          <w:tcPr>
            <w:tcW w:w="845" w:type="dxa"/>
            <w:gridSpan w:val="2"/>
            <w:tcBorders>
              <w:top w:val="nil"/>
              <w:left w:val="nil"/>
              <w:bottom w:val="single" w:sz="4" w:space="0" w:color="auto"/>
              <w:right w:val="single" w:sz="4" w:space="0" w:color="auto"/>
            </w:tcBorders>
            <w:noWrap/>
            <w:vAlign w:val="center"/>
            <w:hideMark/>
          </w:tcPr>
          <w:p w14:paraId="11480660"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10.82</w:t>
            </w:r>
          </w:p>
        </w:tc>
        <w:tc>
          <w:tcPr>
            <w:tcW w:w="871" w:type="dxa"/>
            <w:gridSpan w:val="4"/>
            <w:tcBorders>
              <w:top w:val="nil"/>
              <w:left w:val="nil"/>
              <w:bottom w:val="single" w:sz="4" w:space="0" w:color="auto"/>
              <w:right w:val="single" w:sz="4" w:space="0" w:color="auto"/>
            </w:tcBorders>
            <w:noWrap/>
            <w:vAlign w:val="center"/>
            <w:hideMark/>
          </w:tcPr>
          <w:p w14:paraId="13295271"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28" w:type="dxa"/>
            <w:gridSpan w:val="2"/>
            <w:tcBorders>
              <w:top w:val="nil"/>
              <w:left w:val="nil"/>
              <w:bottom w:val="single" w:sz="4" w:space="0" w:color="auto"/>
              <w:right w:val="single" w:sz="4" w:space="0" w:color="auto"/>
            </w:tcBorders>
            <w:noWrap/>
            <w:vAlign w:val="center"/>
            <w:hideMark/>
          </w:tcPr>
          <w:p w14:paraId="334C6A0E"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51" w:type="dxa"/>
            <w:gridSpan w:val="2"/>
            <w:tcBorders>
              <w:top w:val="nil"/>
              <w:left w:val="nil"/>
              <w:bottom w:val="single" w:sz="4" w:space="0" w:color="auto"/>
              <w:right w:val="single" w:sz="4" w:space="0" w:color="auto"/>
            </w:tcBorders>
            <w:noWrap/>
            <w:vAlign w:val="center"/>
            <w:hideMark/>
          </w:tcPr>
          <w:p w14:paraId="158D6CFC"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50" w:type="dxa"/>
            <w:gridSpan w:val="3"/>
            <w:tcBorders>
              <w:top w:val="nil"/>
              <w:left w:val="nil"/>
              <w:bottom w:val="single" w:sz="4" w:space="0" w:color="auto"/>
              <w:right w:val="single" w:sz="4" w:space="0" w:color="auto"/>
            </w:tcBorders>
            <w:noWrap/>
            <w:vAlign w:val="center"/>
            <w:hideMark/>
          </w:tcPr>
          <w:p w14:paraId="6D9AC77A"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r>
      <w:tr w:rsidR="002774B6" w:rsidRPr="002774B6" w14:paraId="65B452A6" w14:textId="77777777" w:rsidTr="005C2FC6">
        <w:trPr>
          <w:gridAfter w:val="1"/>
          <w:wAfter w:w="170" w:type="dxa"/>
          <w:trHeight w:val="255"/>
        </w:trPr>
        <w:tc>
          <w:tcPr>
            <w:tcW w:w="582" w:type="dxa"/>
            <w:gridSpan w:val="3"/>
            <w:tcBorders>
              <w:top w:val="nil"/>
              <w:left w:val="single" w:sz="4" w:space="0" w:color="auto"/>
              <w:bottom w:val="single" w:sz="4" w:space="0" w:color="auto"/>
              <w:right w:val="single" w:sz="4" w:space="0" w:color="auto"/>
            </w:tcBorders>
            <w:noWrap/>
            <w:vAlign w:val="bottom"/>
            <w:hideMark/>
          </w:tcPr>
          <w:p w14:paraId="630776CF" w14:textId="77777777" w:rsidR="002774B6" w:rsidRPr="002774B6" w:rsidRDefault="002774B6" w:rsidP="002774B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3</w:t>
            </w:r>
          </w:p>
        </w:tc>
        <w:tc>
          <w:tcPr>
            <w:tcW w:w="2963" w:type="dxa"/>
            <w:gridSpan w:val="5"/>
            <w:tcBorders>
              <w:top w:val="nil"/>
              <w:left w:val="nil"/>
              <w:bottom w:val="single" w:sz="4" w:space="0" w:color="auto"/>
              <w:right w:val="single" w:sz="4" w:space="0" w:color="auto"/>
            </w:tcBorders>
            <w:noWrap/>
            <w:vAlign w:val="bottom"/>
            <w:hideMark/>
          </w:tcPr>
          <w:p w14:paraId="3065D1F2" w14:textId="4A2EA278" w:rsidR="002774B6" w:rsidRPr="002774B6" w:rsidRDefault="009209DB" w:rsidP="002774B6">
            <w:pPr>
              <w:spacing w:after="0" w:line="240" w:lineRule="auto"/>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RICE (</w:t>
            </w:r>
            <w:r w:rsidR="002774B6" w:rsidRPr="002774B6">
              <w:rPr>
                <w:rFonts w:ascii="Times New Roman" w:eastAsia="Times New Roman" w:hAnsi="Times New Roman" w:cs="Times New Roman"/>
                <w:b/>
                <w:bCs/>
                <w:sz w:val="18"/>
                <w:szCs w:val="18"/>
                <w:lang w:eastAsia="en-IN" w:bidi="bn-IN"/>
              </w:rPr>
              <w:t>OTHER THAN BASMOTI)</w:t>
            </w:r>
          </w:p>
        </w:tc>
        <w:tc>
          <w:tcPr>
            <w:tcW w:w="1148" w:type="dxa"/>
            <w:gridSpan w:val="2"/>
            <w:tcBorders>
              <w:top w:val="nil"/>
              <w:left w:val="nil"/>
              <w:bottom w:val="single" w:sz="4" w:space="0" w:color="auto"/>
              <w:right w:val="single" w:sz="4" w:space="0" w:color="auto"/>
            </w:tcBorders>
            <w:noWrap/>
            <w:vAlign w:val="center"/>
            <w:hideMark/>
          </w:tcPr>
          <w:p w14:paraId="4D33F639"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69.26</w:t>
            </w:r>
          </w:p>
        </w:tc>
        <w:tc>
          <w:tcPr>
            <w:tcW w:w="904" w:type="dxa"/>
            <w:gridSpan w:val="2"/>
            <w:tcBorders>
              <w:top w:val="nil"/>
              <w:left w:val="nil"/>
              <w:bottom w:val="single" w:sz="4" w:space="0" w:color="auto"/>
              <w:right w:val="single" w:sz="4" w:space="0" w:color="auto"/>
            </w:tcBorders>
            <w:noWrap/>
            <w:vAlign w:val="center"/>
            <w:hideMark/>
          </w:tcPr>
          <w:p w14:paraId="5D79C338"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88.77</w:t>
            </w:r>
          </w:p>
        </w:tc>
        <w:tc>
          <w:tcPr>
            <w:tcW w:w="936" w:type="dxa"/>
            <w:gridSpan w:val="3"/>
            <w:tcBorders>
              <w:top w:val="nil"/>
              <w:left w:val="nil"/>
              <w:bottom w:val="single" w:sz="4" w:space="0" w:color="auto"/>
              <w:right w:val="single" w:sz="4" w:space="0" w:color="auto"/>
            </w:tcBorders>
            <w:noWrap/>
            <w:vAlign w:val="center"/>
            <w:hideMark/>
          </w:tcPr>
          <w:p w14:paraId="2343255F"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114.70</w:t>
            </w:r>
          </w:p>
        </w:tc>
        <w:tc>
          <w:tcPr>
            <w:tcW w:w="846" w:type="dxa"/>
            <w:gridSpan w:val="2"/>
            <w:tcBorders>
              <w:top w:val="nil"/>
              <w:left w:val="nil"/>
              <w:bottom w:val="single" w:sz="4" w:space="0" w:color="auto"/>
              <w:right w:val="single" w:sz="4" w:space="0" w:color="auto"/>
            </w:tcBorders>
            <w:noWrap/>
            <w:vAlign w:val="center"/>
            <w:hideMark/>
          </w:tcPr>
          <w:p w14:paraId="61FD61CF"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120.11</w:t>
            </w:r>
          </w:p>
        </w:tc>
        <w:tc>
          <w:tcPr>
            <w:tcW w:w="845" w:type="dxa"/>
            <w:gridSpan w:val="2"/>
            <w:tcBorders>
              <w:top w:val="nil"/>
              <w:left w:val="nil"/>
              <w:bottom w:val="single" w:sz="4" w:space="0" w:color="auto"/>
              <w:right w:val="single" w:sz="4" w:space="0" w:color="auto"/>
            </w:tcBorders>
            <w:noWrap/>
            <w:vAlign w:val="center"/>
            <w:hideMark/>
          </w:tcPr>
          <w:p w14:paraId="509E3A29"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131.79</w:t>
            </w:r>
          </w:p>
        </w:tc>
        <w:tc>
          <w:tcPr>
            <w:tcW w:w="871" w:type="dxa"/>
            <w:gridSpan w:val="4"/>
            <w:tcBorders>
              <w:top w:val="nil"/>
              <w:left w:val="nil"/>
              <w:bottom w:val="single" w:sz="4" w:space="0" w:color="auto"/>
              <w:right w:val="single" w:sz="4" w:space="0" w:color="auto"/>
            </w:tcBorders>
            <w:noWrap/>
            <w:vAlign w:val="center"/>
            <w:hideMark/>
          </w:tcPr>
          <w:p w14:paraId="612A0950"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28.17</w:t>
            </w:r>
          </w:p>
        </w:tc>
        <w:tc>
          <w:tcPr>
            <w:tcW w:w="828" w:type="dxa"/>
            <w:gridSpan w:val="2"/>
            <w:tcBorders>
              <w:top w:val="nil"/>
              <w:left w:val="nil"/>
              <w:bottom w:val="single" w:sz="4" w:space="0" w:color="auto"/>
              <w:right w:val="single" w:sz="4" w:space="0" w:color="auto"/>
            </w:tcBorders>
            <w:noWrap/>
            <w:vAlign w:val="center"/>
            <w:hideMark/>
          </w:tcPr>
          <w:p w14:paraId="24B43AC6"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29.21</w:t>
            </w:r>
          </w:p>
        </w:tc>
        <w:tc>
          <w:tcPr>
            <w:tcW w:w="851" w:type="dxa"/>
            <w:gridSpan w:val="2"/>
            <w:tcBorders>
              <w:top w:val="nil"/>
              <w:left w:val="nil"/>
              <w:bottom w:val="single" w:sz="4" w:space="0" w:color="auto"/>
              <w:right w:val="single" w:sz="4" w:space="0" w:color="auto"/>
            </w:tcBorders>
            <w:noWrap/>
            <w:vAlign w:val="center"/>
            <w:hideMark/>
          </w:tcPr>
          <w:p w14:paraId="313F894F"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4.72</w:t>
            </w:r>
          </w:p>
        </w:tc>
        <w:tc>
          <w:tcPr>
            <w:tcW w:w="850" w:type="dxa"/>
            <w:gridSpan w:val="3"/>
            <w:tcBorders>
              <w:top w:val="nil"/>
              <w:left w:val="nil"/>
              <w:bottom w:val="single" w:sz="4" w:space="0" w:color="auto"/>
              <w:right w:val="single" w:sz="4" w:space="0" w:color="auto"/>
            </w:tcBorders>
            <w:noWrap/>
            <w:vAlign w:val="center"/>
            <w:hideMark/>
          </w:tcPr>
          <w:p w14:paraId="6D836B32"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9.73</w:t>
            </w:r>
          </w:p>
        </w:tc>
      </w:tr>
      <w:tr w:rsidR="002774B6" w:rsidRPr="002774B6" w14:paraId="555F7FAE" w14:textId="77777777" w:rsidTr="005C2FC6">
        <w:trPr>
          <w:gridAfter w:val="1"/>
          <w:wAfter w:w="170" w:type="dxa"/>
          <w:trHeight w:val="255"/>
        </w:trPr>
        <w:tc>
          <w:tcPr>
            <w:tcW w:w="582" w:type="dxa"/>
            <w:gridSpan w:val="3"/>
            <w:tcBorders>
              <w:top w:val="nil"/>
              <w:left w:val="single" w:sz="4" w:space="0" w:color="auto"/>
              <w:bottom w:val="single" w:sz="4" w:space="0" w:color="auto"/>
              <w:right w:val="single" w:sz="4" w:space="0" w:color="auto"/>
            </w:tcBorders>
            <w:noWrap/>
            <w:vAlign w:val="bottom"/>
            <w:hideMark/>
          </w:tcPr>
          <w:p w14:paraId="51D3A350" w14:textId="77777777" w:rsidR="002774B6" w:rsidRPr="002774B6" w:rsidRDefault="002774B6" w:rsidP="002774B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 </w:t>
            </w:r>
          </w:p>
        </w:tc>
        <w:tc>
          <w:tcPr>
            <w:tcW w:w="2963" w:type="dxa"/>
            <w:gridSpan w:val="5"/>
            <w:tcBorders>
              <w:top w:val="nil"/>
              <w:left w:val="nil"/>
              <w:bottom w:val="single" w:sz="4" w:space="0" w:color="auto"/>
              <w:right w:val="single" w:sz="4" w:space="0" w:color="auto"/>
            </w:tcBorders>
            <w:noWrap/>
            <w:vAlign w:val="center"/>
            <w:hideMark/>
          </w:tcPr>
          <w:p w14:paraId="3F2D1B50" w14:textId="77777777" w:rsidR="002774B6" w:rsidRPr="002774B6" w:rsidRDefault="002774B6" w:rsidP="002774B6">
            <w:pPr>
              <w:spacing w:after="0" w:line="240" w:lineRule="auto"/>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Share in total export</w:t>
            </w:r>
          </w:p>
        </w:tc>
        <w:tc>
          <w:tcPr>
            <w:tcW w:w="1148" w:type="dxa"/>
            <w:gridSpan w:val="2"/>
            <w:tcBorders>
              <w:top w:val="nil"/>
              <w:left w:val="nil"/>
              <w:bottom w:val="single" w:sz="4" w:space="0" w:color="auto"/>
              <w:right w:val="single" w:sz="4" w:space="0" w:color="auto"/>
            </w:tcBorders>
            <w:noWrap/>
            <w:vAlign w:val="center"/>
            <w:hideMark/>
          </w:tcPr>
          <w:p w14:paraId="407DB171"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5.62</w:t>
            </w:r>
          </w:p>
        </w:tc>
        <w:tc>
          <w:tcPr>
            <w:tcW w:w="904" w:type="dxa"/>
            <w:gridSpan w:val="2"/>
            <w:tcBorders>
              <w:top w:val="nil"/>
              <w:left w:val="nil"/>
              <w:bottom w:val="single" w:sz="4" w:space="0" w:color="auto"/>
              <w:right w:val="single" w:sz="4" w:space="0" w:color="auto"/>
            </w:tcBorders>
            <w:noWrap/>
            <w:vAlign w:val="center"/>
            <w:hideMark/>
          </w:tcPr>
          <w:p w14:paraId="310D0CAD"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4.49</w:t>
            </w:r>
          </w:p>
        </w:tc>
        <w:tc>
          <w:tcPr>
            <w:tcW w:w="936" w:type="dxa"/>
            <w:gridSpan w:val="3"/>
            <w:tcBorders>
              <w:top w:val="nil"/>
              <w:left w:val="nil"/>
              <w:bottom w:val="single" w:sz="4" w:space="0" w:color="auto"/>
              <w:right w:val="single" w:sz="4" w:space="0" w:color="auto"/>
            </w:tcBorders>
            <w:noWrap/>
            <w:vAlign w:val="center"/>
            <w:hideMark/>
          </w:tcPr>
          <w:p w14:paraId="5CAC0D68"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4.58</w:t>
            </w:r>
          </w:p>
        </w:tc>
        <w:tc>
          <w:tcPr>
            <w:tcW w:w="846" w:type="dxa"/>
            <w:gridSpan w:val="2"/>
            <w:tcBorders>
              <w:top w:val="nil"/>
              <w:left w:val="nil"/>
              <w:bottom w:val="single" w:sz="4" w:space="0" w:color="auto"/>
              <w:right w:val="single" w:sz="4" w:space="0" w:color="auto"/>
            </w:tcBorders>
            <w:noWrap/>
            <w:vAlign w:val="center"/>
            <w:hideMark/>
          </w:tcPr>
          <w:p w14:paraId="4F8B3056"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6.02</w:t>
            </w:r>
          </w:p>
        </w:tc>
        <w:tc>
          <w:tcPr>
            <w:tcW w:w="845" w:type="dxa"/>
            <w:gridSpan w:val="2"/>
            <w:tcBorders>
              <w:top w:val="nil"/>
              <w:left w:val="nil"/>
              <w:bottom w:val="single" w:sz="4" w:space="0" w:color="auto"/>
              <w:right w:val="single" w:sz="4" w:space="0" w:color="auto"/>
            </w:tcBorders>
            <w:noWrap/>
            <w:vAlign w:val="center"/>
            <w:hideMark/>
          </w:tcPr>
          <w:p w14:paraId="29CA401D"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9.96</w:t>
            </w:r>
          </w:p>
        </w:tc>
        <w:tc>
          <w:tcPr>
            <w:tcW w:w="871" w:type="dxa"/>
            <w:gridSpan w:val="4"/>
            <w:tcBorders>
              <w:top w:val="nil"/>
              <w:left w:val="nil"/>
              <w:bottom w:val="single" w:sz="4" w:space="0" w:color="auto"/>
              <w:right w:val="single" w:sz="4" w:space="0" w:color="auto"/>
            </w:tcBorders>
            <w:noWrap/>
            <w:vAlign w:val="center"/>
            <w:hideMark/>
          </w:tcPr>
          <w:p w14:paraId="4F0A6F74"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28" w:type="dxa"/>
            <w:gridSpan w:val="2"/>
            <w:tcBorders>
              <w:top w:val="nil"/>
              <w:left w:val="nil"/>
              <w:bottom w:val="single" w:sz="4" w:space="0" w:color="auto"/>
              <w:right w:val="single" w:sz="4" w:space="0" w:color="auto"/>
            </w:tcBorders>
            <w:noWrap/>
            <w:vAlign w:val="center"/>
            <w:hideMark/>
          </w:tcPr>
          <w:p w14:paraId="5E628397"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51" w:type="dxa"/>
            <w:gridSpan w:val="2"/>
            <w:tcBorders>
              <w:top w:val="nil"/>
              <w:left w:val="nil"/>
              <w:bottom w:val="single" w:sz="4" w:space="0" w:color="auto"/>
              <w:right w:val="single" w:sz="4" w:space="0" w:color="auto"/>
            </w:tcBorders>
            <w:noWrap/>
            <w:vAlign w:val="center"/>
            <w:hideMark/>
          </w:tcPr>
          <w:p w14:paraId="045F1884"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50" w:type="dxa"/>
            <w:gridSpan w:val="3"/>
            <w:tcBorders>
              <w:top w:val="nil"/>
              <w:left w:val="nil"/>
              <w:bottom w:val="single" w:sz="4" w:space="0" w:color="auto"/>
              <w:right w:val="single" w:sz="4" w:space="0" w:color="auto"/>
            </w:tcBorders>
            <w:noWrap/>
            <w:vAlign w:val="center"/>
            <w:hideMark/>
          </w:tcPr>
          <w:p w14:paraId="4F3C3F91"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r>
      <w:tr w:rsidR="002774B6" w:rsidRPr="002774B6" w14:paraId="311D5728" w14:textId="77777777" w:rsidTr="005C2FC6">
        <w:trPr>
          <w:gridAfter w:val="1"/>
          <w:wAfter w:w="170" w:type="dxa"/>
          <w:trHeight w:val="255"/>
        </w:trPr>
        <w:tc>
          <w:tcPr>
            <w:tcW w:w="582" w:type="dxa"/>
            <w:gridSpan w:val="3"/>
            <w:tcBorders>
              <w:top w:val="nil"/>
              <w:left w:val="single" w:sz="4" w:space="0" w:color="auto"/>
              <w:bottom w:val="single" w:sz="4" w:space="0" w:color="auto"/>
              <w:right w:val="single" w:sz="4" w:space="0" w:color="auto"/>
            </w:tcBorders>
            <w:noWrap/>
            <w:vAlign w:val="bottom"/>
            <w:hideMark/>
          </w:tcPr>
          <w:p w14:paraId="4BB22687" w14:textId="77777777" w:rsidR="002774B6" w:rsidRPr="002774B6" w:rsidRDefault="002774B6" w:rsidP="002774B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4</w:t>
            </w:r>
          </w:p>
        </w:tc>
        <w:tc>
          <w:tcPr>
            <w:tcW w:w="2963" w:type="dxa"/>
            <w:gridSpan w:val="5"/>
            <w:tcBorders>
              <w:top w:val="nil"/>
              <w:left w:val="nil"/>
              <w:bottom w:val="single" w:sz="4" w:space="0" w:color="auto"/>
              <w:right w:val="single" w:sz="4" w:space="0" w:color="auto"/>
            </w:tcBorders>
            <w:noWrap/>
            <w:vAlign w:val="bottom"/>
            <w:hideMark/>
          </w:tcPr>
          <w:p w14:paraId="0C7CED9A" w14:textId="77777777" w:rsidR="002774B6" w:rsidRPr="002774B6" w:rsidRDefault="002774B6" w:rsidP="002774B6">
            <w:pPr>
              <w:spacing w:after="0" w:line="240" w:lineRule="auto"/>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INDL. MACHNRY FOR DAIRY ETC</w:t>
            </w:r>
          </w:p>
        </w:tc>
        <w:tc>
          <w:tcPr>
            <w:tcW w:w="1148" w:type="dxa"/>
            <w:gridSpan w:val="2"/>
            <w:tcBorders>
              <w:top w:val="nil"/>
              <w:left w:val="nil"/>
              <w:bottom w:val="single" w:sz="4" w:space="0" w:color="auto"/>
              <w:right w:val="single" w:sz="4" w:space="0" w:color="auto"/>
            </w:tcBorders>
            <w:noWrap/>
            <w:vAlign w:val="center"/>
            <w:hideMark/>
          </w:tcPr>
          <w:p w14:paraId="2FB3D748"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9.56</w:t>
            </w:r>
          </w:p>
        </w:tc>
        <w:tc>
          <w:tcPr>
            <w:tcW w:w="904" w:type="dxa"/>
            <w:gridSpan w:val="2"/>
            <w:tcBorders>
              <w:top w:val="nil"/>
              <w:left w:val="nil"/>
              <w:bottom w:val="single" w:sz="4" w:space="0" w:color="auto"/>
              <w:right w:val="single" w:sz="4" w:space="0" w:color="auto"/>
            </w:tcBorders>
            <w:noWrap/>
            <w:vAlign w:val="center"/>
            <w:hideMark/>
          </w:tcPr>
          <w:p w14:paraId="2156B0B0"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21.90</w:t>
            </w:r>
          </w:p>
        </w:tc>
        <w:tc>
          <w:tcPr>
            <w:tcW w:w="936" w:type="dxa"/>
            <w:gridSpan w:val="3"/>
            <w:tcBorders>
              <w:top w:val="nil"/>
              <w:left w:val="nil"/>
              <w:bottom w:val="single" w:sz="4" w:space="0" w:color="auto"/>
              <w:right w:val="single" w:sz="4" w:space="0" w:color="auto"/>
            </w:tcBorders>
            <w:noWrap/>
            <w:vAlign w:val="center"/>
            <w:hideMark/>
          </w:tcPr>
          <w:p w14:paraId="15C50703"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33.31</w:t>
            </w:r>
          </w:p>
        </w:tc>
        <w:tc>
          <w:tcPr>
            <w:tcW w:w="846" w:type="dxa"/>
            <w:gridSpan w:val="2"/>
            <w:tcBorders>
              <w:top w:val="nil"/>
              <w:left w:val="nil"/>
              <w:bottom w:val="single" w:sz="4" w:space="0" w:color="auto"/>
              <w:right w:val="single" w:sz="4" w:space="0" w:color="auto"/>
            </w:tcBorders>
            <w:noWrap/>
            <w:vAlign w:val="center"/>
            <w:hideMark/>
          </w:tcPr>
          <w:p w14:paraId="42AAC4F9"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36.55</w:t>
            </w:r>
          </w:p>
        </w:tc>
        <w:tc>
          <w:tcPr>
            <w:tcW w:w="845" w:type="dxa"/>
            <w:gridSpan w:val="2"/>
            <w:tcBorders>
              <w:top w:val="nil"/>
              <w:left w:val="nil"/>
              <w:bottom w:val="single" w:sz="4" w:space="0" w:color="auto"/>
              <w:right w:val="single" w:sz="4" w:space="0" w:color="auto"/>
            </w:tcBorders>
            <w:noWrap/>
            <w:vAlign w:val="center"/>
            <w:hideMark/>
          </w:tcPr>
          <w:p w14:paraId="2C5357DB"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41.05</w:t>
            </w:r>
          </w:p>
        </w:tc>
        <w:tc>
          <w:tcPr>
            <w:tcW w:w="871" w:type="dxa"/>
            <w:gridSpan w:val="4"/>
            <w:tcBorders>
              <w:top w:val="nil"/>
              <w:left w:val="nil"/>
              <w:bottom w:val="single" w:sz="4" w:space="0" w:color="auto"/>
              <w:right w:val="single" w:sz="4" w:space="0" w:color="auto"/>
            </w:tcBorders>
            <w:noWrap/>
            <w:vAlign w:val="center"/>
            <w:hideMark/>
          </w:tcPr>
          <w:p w14:paraId="145E2668"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129.08</w:t>
            </w:r>
          </w:p>
        </w:tc>
        <w:tc>
          <w:tcPr>
            <w:tcW w:w="828" w:type="dxa"/>
            <w:gridSpan w:val="2"/>
            <w:tcBorders>
              <w:top w:val="nil"/>
              <w:left w:val="nil"/>
              <w:bottom w:val="single" w:sz="4" w:space="0" w:color="auto"/>
              <w:right w:val="single" w:sz="4" w:space="0" w:color="auto"/>
            </w:tcBorders>
            <w:noWrap/>
            <w:vAlign w:val="center"/>
            <w:hideMark/>
          </w:tcPr>
          <w:p w14:paraId="7AF41FF2"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52.10</w:t>
            </w:r>
          </w:p>
        </w:tc>
        <w:tc>
          <w:tcPr>
            <w:tcW w:w="851" w:type="dxa"/>
            <w:gridSpan w:val="2"/>
            <w:tcBorders>
              <w:top w:val="nil"/>
              <w:left w:val="nil"/>
              <w:bottom w:val="single" w:sz="4" w:space="0" w:color="auto"/>
              <w:right w:val="single" w:sz="4" w:space="0" w:color="auto"/>
            </w:tcBorders>
            <w:noWrap/>
            <w:vAlign w:val="center"/>
            <w:hideMark/>
          </w:tcPr>
          <w:p w14:paraId="027A81A7"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9.73</w:t>
            </w:r>
          </w:p>
        </w:tc>
        <w:tc>
          <w:tcPr>
            <w:tcW w:w="850" w:type="dxa"/>
            <w:gridSpan w:val="3"/>
            <w:tcBorders>
              <w:top w:val="nil"/>
              <w:left w:val="nil"/>
              <w:bottom w:val="single" w:sz="4" w:space="0" w:color="auto"/>
              <w:right w:val="single" w:sz="4" w:space="0" w:color="auto"/>
            </w:tcBorders>
            <w:noWrap/>
            <w:vAlign w:val="center"/>
            <w:hideMark/>
          </w:tcPr>
          <w:p w14:paraId="30CC852A"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12.32</w:t>
            </w:r>
          </w:p>
        </w:tc>
      </w:tr>
      <w:tr w:rsidR="002774B6" w:rsidRPr="002774B6" w14:paraId="790CC61F" w14:textId="77777777" w:rsidTr="005C2FC6">
        <w:trPr>
          <w:gridAfter w:val="1"/>
          <w:wAfter w:w="170" w:type="dxa"/>
          <w:trHeight w:val="255"/>
        </w:trPr>
        <w:tc>
          <w:tcPr>
            <w:tcW w:w="582" w:type="dxa"/>
            <w:gridSpan w:val="3"/>
            <w:tcBorders>
              <w:top w:val="nil"/>
              <w:left w:val="single" w:sz="4" w:space="0" w:color="auto"/>
              <w:bottom w:val="single" w:sz="4" w:space="0" w:color="auto"/>
              <w:right w:val="single" w:sz="4" w:space="0" w:color="auto"/>
            </w:tcBorders>
            <w:noWrap/>
            <w:vAlign w:val="bottom"/>
            <w:hideMark/>
          </w:tcPr>
          <w:p w14:paraId="4DA55B2B" w14:textId="77777777" w:rsidR="002774B6" w:rsidRPr="002774B6" w:rsidRDefault="002774B6" w:rsidP="002774B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 </w:t>
            </w:r>
          </w:p>
        </w:tc>
        <w:tc>
          <w:tcPr>
            <w:tcW w:w="2963" w:type="dxa"/>
            <w:gridSpan w:val="5"/>
            <w:tcBorders>
              <w:top w:val="nil"/>
              <w:left w:val="nil"/>
              <w:bottom w:val="single" w:sz="4" w:space="0" w:color="auto"/>
              <w:right w:val="single" w:sz="4" w:space="0" w:color="auto"/>
            </w:tcBorders>
            <w:noWrap/>
            <w:vAlign w:val="center"/>
            <w:hideMark/>
          </w:tcPr>
          <w:p w14:paraId="5BA75EF4" w14:textId="77777777" w:rsidR="002774B6" w:rsidRPr="002774B6" w:rsidRDefault="002774B6" w:rsidP="002774B6">
            <w:pPr>
              <w:spacing w:after="0" w:line="240" w:lineRule="auto"/>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Share in total export</w:t>
            </w:r>
          </w:p>
        </w:tc>
        <w:tc>
          <w:tcPr>
            <w:tcW w:w="1148" w:type="dxa"/>
            <w:gridSpan w:val="2"/>
            <w:tcBorders>
              <w:top w:val="nil"/>
              <w:left w:val="nil"/>
              <w:bottom w:val="single" w:sz="4" w:space="0" w:color="auto"/>
              <w:right w:val="single" w:sz="4" w:space="0" w:color="auto"/>
            </w:tcBorders>
            <w:noWrap/>
            <w:vAlign w:val="center"/>
            <w:hideMark/>
          </w:tcPr>
          <w:p w14:paraId="3EF2AAC8"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0.78</w:t>
            </w:r>
          </w:p>
        </w:tc>
        <w:tc>
          <w:tcPr>
            <w:tcW w:w="904" w:type="dxa"/>
            <w:gridSpan w:val="2"/>
            <w:tcBorders>
              <w:top w:val="nil"/>
              <w:left w:val="nil"/>
              <w:bottom w:val="single" w:sz="4" w:space="0" w:color="auto"/>
              <w:right w:val="single" w:sz="4" w:space="0" w:color="auto"/>
            </w:tcBorders>
            <w:noWrap/>
            <w:vAlign w:val="center"/>
            <w:hideMark/>
          </w:tcPr>
          <w:p w14:paraId="7E8E82F5"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1.11</w:t>
            </w:r>
          </w:p>
        </w:tc>
        <w:tc>
          <w:tcPr>
            <w:tcW w:w="936" w:type="dxa"/>
            <w:gridSpan w:val="3"/>
            <w:tcBorders>
              <w:top w:val="nil"/>
              <w:left w:val="nil"/>
              <w:bottom w:val="single" w:sz="4" w:space="0" w:color="auto"/>
              <w:right w:val="single" w:sz="4" w:space="0" w:color="auto"/>
            </w:tcBorders>
            <w:noWrap/>
            <w:vAlign w:val="center"/>
            <w:hideMark/>
          </w:tcPr>
          <w:p w14:paraId="3C42FC12"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1.33</w:t>
            </w:r>
          </w:p>
        </w:tc>
        <w:tc>
          <w:tcPr>
            <w:tcW w:w="846" w:type="dxa"/>
            <w:gridSpan w:val="2"/>
            <w:tcBorders>
              <w:top w:val="nil"/>
              <w:left w:val="nil"/>
              <w:bottom w:val="single" w:sz="4" w:space="0" w:color="auto"/>
              <w:right w:val="single" w:sz="4" w:space="0" w:color="auto"/>
            </w:tcBorders>
            <w:noWrap/>
            <w:vAlign w:val="center"/>
            <w:hideMark/>
          </w:tcPr>
          <w:p w14:paraId="70CD1D2C"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1.83</w:t>
            </w:r>
          </w:p>
        </w:tc>
        <w:tc>
          <w:tcPr>
            <w:tcW w:w="845" w:type="dxa"/>
            <w:gridSpan w:val="2"/>
            <w:tcBorders>
              <w:top w:val="nil"/>
              <w:left w:val="nil"/>
              <w:bottom w:val="single" w:sz="4" w:space="0" w:color="auto"/>
              <w:right w:val="single" w:sz="4" w:space="0" w:color="auto"/>
            </w:tcBorders>
            <w:noWrap/>
            <w:vAlign w:val="center"/>
            <w:hideMark/>
          </w:tcPr>
          <w:p w14:paraId="07E50AA3"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3.10</w:t>
            </w:r>
          </w:p>
        </w:tc>
        <w:tc>
          <w:tcPr>
            <w:tcW w:w="871" w:type="dxa"/>
            <w:gridSpan w:val="4"/>
            <w:tcBorders>
              <w:top w:val="nil"/>
              <w:left w:val="nil"/>
              <w:bottom w:val="single" w:sz="4" w:space="0" w:color="auto"/>
              <w:right w:val="single" w:sz="4" w:space="0" w:color="auto"/>
            </w:tcBorders>
            <w:noWrap/>
            <w:vAlign w:val="center"/>
            <w:hideMark/>
          </w:tcPr>
          <w:p w14:paraId="78D5C72F"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28" w:type="dxa"/>
            <w:gridSpan w:val="2"/>
            <w:tcBorders>
              <w:top w:val="nil"/>
              <w:left w:val="nil"/>
              <w:bottom w:val="single" w:sz="4" w:space="0" w:color="auto"/>
              <w:right w:val="single" w:sz="4" w:space="0" w:color="auto"/>
            </w:tcBorders>
            <w:noWrap/>
            <w:vAlign w:val="center"/>
            <w:hideMark/>
          </w:tcPr>
          <w:p w14:paraId="3C474A37"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51" w:type="dxa"/>
            <w:gridSpan w:val="2"/>
            <w:tcBorders>
              <w:top w:val="nil"/>
              <w:left w:val="nil"/>
              <w:bottom w:val="single" w:sz="4" w:space="0" w:color="auto"/>
              <w:right w:val="single" w:sz="4" w:space="0" w:color="auto"/>
            </w:tcBorders>
            <w:noWrap/>
            <w:vAlign w:val="center"/>
            <w:hideMark/>
          </w:tcPr>
          <w:p w14:paraId="15F6E870"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50" w:type="dxa"/>
            <w:gridSpan w:val="3"/>
            <w:tcBorders>
              <w:top w:val="nil"/>
              <w:left w:val="nil"/>
              <w:bottom w:val="single" w:sz="4" w:space="0" w:color="auto"/>
              <w:right w:val="single" w:sz="4" w:space="0" w:color="auto"/>
            </w:tcBorders>
            <w:noWrap/>
            <w:vAlign w:val="center"/>
            <w:hideMark/>
          </w:tcPr>
          <w:p w14:paraId="3C3FDCF7"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r>
      <w:tr w:rsidR="002774B6" w:rsidRPr="002774B6" w14:paraId="02B03E68" w14:textId="77777777" w:rsidTr="005C2FC6">
        <w:trPr>
          <w:gridAfter w:val="1"/>
          <w:wAfter w:w="170" w:type="dxa"/>
          <w:trHeight w:val="255"/>
        </w:trPr>
        <w:tc>
          <w:tcPr>
            <w:tcW w:w="582" w:type="dxa"/>
            <w:gridSpan w:val="3"/>
            <w:tcBorders>
              <w:top w:val="nil"/>
              <w:left w:val="single" w:sz="4" w:space="0" w:color="auto"/>
              <w:bottom w:val="single" w:sz="4" w:space="0" w:color="auto"/>
              <w:right w:val="single" w:sz="4" w:space="0" w:color="auto"/>
            </w:tcBorders>
            <w:noWrap/>
            <w:vAlign w:val="bottom"/>
            <w:hideMark/>
          </w:tcPr>
          <w:p w14:paraId="7A197DA8" w14:textId="77777777" w:rsidR="002774B6" w:rsidRPr="002774B6" w:rsidRDefault="002774B6" w:rsidP="002774B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5</w:t>
            </w:r>
          </w:p>
        </w:tc>
        <w:tc>
          <w:tcPr>
            <w:tcW w:w="2963" w:type="dxa"/>
            <w:gridSpan w:val="5"/>
            <w:tcBorders>
              <w:top w:val="nil"/>
              <w:left w:val="nil"/>
              <w:bottom w:val="single" w:sz="4" w:space="0" w:color="auto"/>
              <w:right w:val="single" w:sz="4" w:space="0" w:color="auto"/>
            </w:tcBorders>
            <w:noWrap/>
            <w:vAlign w:val="bottom"/>
            <w:hideMark/>
          </w:tcPr>
          <w:p w14:paraId="3EF69389" w14:textId="77777777" w:rsidR="002774B6" w:rsidRPr="002774B6" w:rsidRDefault="002774B6" w:rsidP="002774B6">
            <w:pPr>
              <w:spacing w:after="0" w:line="240" w:lineRule="auto"/>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ELECTRIC MACHINERY AND EQUIPME</w:t>
            </w:r>
          </w:p>
        </w:tc>
        <w:tc>
          <w:tcPr>
            <w:tcW w:w="1148" w:type="dxa"/>
            <w:gridSpan w:val="2"/>
            <w:tcBorders>
              <w:top w:val="nil"/>
              <w:left w:val="nil"/>
              <w:bottom w:val="single" w:sz="4" w:space="0" w:color="auto"/>
              <w:right w:val="single" w:sz="4" w:space="0" w:color="auto"/>
            </w:tcBorders>
            <w:noWrap/>
            <w:vAlign w:val="center"/>
            <w:hideMark/>
          </w:tcPr>
          <w:p w14:paraId="1486D234"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5.63</w:t>
            </w:r>
          </w:p>
        </w:tc>
        <w:tc>
          <w:tcPr>
            <w:tcW w:w="904" w:type="dxa"/>
            <w:gridSpan w:val="2"/>
            <w:tcBorders>
              <w:top w:val="nil"/>
              <w:left w:val="nil"/>
              <w:bottom w:val="single" w:sz="4" w:space="0" w:color="auto"/>
              <w:right w:val="single" w:sz="4" w:space="0" w:color="auto"/>
            </w:tcBorders>
            <w:noWrap/>
            <w:vAlign w:val="center"/>
            <w:hideMark/>
          </w:tcPr>
          <w:p w14:paraId="133AC9CB"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7.59</w:t>
            </w:r>
          </w:p>
        </w:tc>
        <w:tc>
          <w:tcPr>
            <w:tcW w:w="936" w:type="dxa"/>
            <w:gridSpan w:val="3"/>
            <w:tcBorders>
              <w:top w:val="nil"/>
              <w:left w:val="nil"/>
              <w:bottom w:val="single" w:sz="4" w:space="0" w:color="auto"/>
              <w:right w:val="single" w:sz="4" w:space="0" w:color="auto"/>
            </w:tcBorders>
            <w:noWrap/>
            <w:vAlign w:val="center"/>
            <w:hideMark/>
          </w:tcPr>
          <w:p w14:paraId="515C2D5D"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12.18</w:t>
            </w:r>
          </w:p>
        </w:tc>
        <w:tc>
          <w:tcPr>
            <w:tcW w:w="846" w:type="dxa"/>
            <w:gridSpan w:val="2"/>
            <w:tcBorders>
              <w:top w:val="nil"/>
              <w:left w:val="nil"/>
              <w:bottom w:val="single" w:sz="4" w:space="0" w:color="auto"/>
              <w:right w:val="single" w:sz="4" w:space="0" w:color="auto"/>
            </w:tcBorders>
            <w:noWrap/>
            <w:vAlign w:val="center"/>
            <w:hideMark/>
          </w:tcPr>
          <w:p w14:paraId="5845209A"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21.42</w:t>
            </w:r>
          </w:p>
        </w:tc>
        <w:tc>
          <w:tcPr>
            <w:tcW w:w="845" w:type="dxa"/>
            <w:gridSpan w:val="2"/>
            <w:tcBorders>
              <w:top w:val="nil"/>
              <w:left w:val="nil"/>
              <w:bottom w:val="single" w:sz="4" w:space="0" w:color="auto"/>
              <w:right w:val="single" w:sz="4" w:space="0" w:color="auto"/>
            </w:tcBorders>
            <w:noWrap/>
            <w:vAlign w:val="center"/>
            <w:hideMark/>
          </w:tcPr>
          <w:p w14:paraId="6F008949"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25.73</w:t>
            </w:r>
          </w:p>
        </w:tc>
        <w:tc>
          <w:tcPr>
            <w:tcW w:w="871" w:type="dxa"/>
            <w:gridSpan w:val="4"/>
            <w:tcBorders>
              <w:top w:val="nil"/>
              <w:left w:val="nil"/>
              <w:bottom w:val="single" w:sz="4" w:space="0" w:color="auto"/>
              <w:right w:val="single" w:sz="4" w:space="0" w:color="auto"/>
            </w:tcBorders>
            <w:noWrap/>
            <w:vAlign w:val="center"/>
            <w:hideMark/>
          </w:tcPr>
          <w:p w14:paraId="029FB174"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34.81</w:t>
            </w:r>
          </w:p>
        </w:tc>
        <w:tc>
          <w:tcPr>
            <w:tcW w:w="828" w:type="dxa"/>
            <w:gridSpan w:val="2"/>
            <w:tcBorders>
              <w:top w:val="nil"/>
              <w:left w:val="nil"/>
              <w:bottom w:val="single" w:sz="4" w:space="0" w:color="auto"/>
              <w:right w:val="single" w:sz="4" w:space="0" w:color="auto"/>
            </w:tcBorders>
            <w:noWrap/>
            <w:vAlign w:val="center"/>
            <w:hideMark/>
          </w:tcPr>
          <w:p w14:paraId="43677367"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60.47</w:t>
            </w:r>
          </w:p>
        </w:tc>
        <w:tc>
          <w:tcPr>
            <w:tcW w:w="851" w:type="dxa"/>
            <w:gridSpan w:val="2"/>
            <w:tcBorders>
              <w:top w:val="nil"/>
              <w:left w:val="nil"/>
              <w:bottom w:val="single" w:sz="4" w:space="0" w:color="auto"/>
              <w:right w:val="single" w:sz="4" w:space="0" w:color="auto"/>
            </w:tcBorders>
            <w:noWrap/>
            <w:vAlign w:val="center"/>
            <w:hideMark/>
          </w:tcPr>
          <w:p w14:paraId="72C2FC1A"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75.86</w:t>
            </w:r>
          </w:p>
        </w:tc>
        <w:tc>
          <w:tcPr>
            <w:tcW w:w="850" w:type="dxa"/>
            <w:gridSpan w:val="3"/>
            <w:tcBorders>
              <w:top w:val="nil"/>
              <w:left w:val="nil"/>
              <w:bottom w:val="single" w:sz="4" w:space="0" w:color="auto"/>
              <w:right w:val="single" w:sz="4" w:space="0" w:color="auto"/>
            </w:tcBorders>
            <w:noWrap/>
            <w:vAlign w:val="center"/>
            <w:hideMark/>
          </w:tcPr>
          <w:p w14:paraId="3D4E5F71"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20.14</w:t>
            </w:r>
          </w:p>
        </w:tc>
      </w:tr>
      <w:tr w:rsidR="002774B6" w:rsidRPr="002774B6" w14:paraId="7B9C8023" w14:textId="77777777" w:rsidTr="005C2FC6">
        <w:trPr>
          <w:gridAfter w:val="1"/>
          <w:wAfter w:w="170" w:type="dxa"/>
          <w:trHeight w:val="255"/>
        </w:trPr>
        <w:tc>
          <w:tcPr>
            <w:tcW w:w="582" w:type="dxa"/>
            <w:gridSpan w:val="3"/>
            <w:tcBorders>
              <w:top w:val="nil"/>
              <w:left w:val="single" w:sz="4" w:space="0" w:color="auto"/>
              <w:bottom w:val="single" w:sz="4" w:space="0" w:color="auto"/>
              <w:right w:val="single" w:sz="4" w:space="0" w:color="auto"/>
            </w:tcBorders>
            <w:noWrap/>
            <w:vAlign w:val="bottom"/>
            <w:hideMark/>
          </w:tcPr>
          <w:p w14:paraId="3E56D2C7" w14:textId="77777777" w:rsidR="002774B6" w:rsidRPr="002774B6" w:rsidRDefault="002774B6" w:rsidP="002774B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 </w:t>
            </w:r>
          </w:p>
        </w:tc>
        <w:tc>
          <w:tcPr>
            <w:tcW w:w="2963" w:type="dxa"/>
            <w:gridSpan w:val="5"/>
            <w:tcBorders>
              <w:top w:val="nil"/>
              <w:left w:val="nil"/>
              <w:bottom w:val="single" w:sz="4" w:space="0" w:color="auto"/>
              <w:right w:val="single" w:sz="4" w:space="0" w:color="auto"/>
            </w:tcBorders>
            <w:noWrap/>
            <w:vAlign w:val="center"/>
            <w:hideMark/>
          </w:tcPr>
          <w:p w14:paraId="23E10293" w14:textId="77777777" w:rsidR="002774B6" w:rsidRPr="002774B6" w:rsidRDefault="002774B6" w:rsidP="002774B6">
            <w:pPr>
              <w:spacing w:after="0" w:line="240" w:lineRule="auto"/>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Share in total export</w:t>
            </w:r>
          </w:p>
        </w:tc>
        <w:tc>
          <w:tcPr>
            <w:tcW w:w="1148" w:type="dxa"/>
            <w:gridSpan w:val="2"/>
            <w:tcBorders>
              <w:top w:val="nil"/>
              <w:left w:val="nil"/>
              <w:bottom w:val="single" w:sz="4" w:space="0" w:color="auto"/>
              <w:right w:val="single" w:sz="4" w:space="0" w:color="auto"/>
            </w:tcBorders>
            <w:noWrap/>
            <w:vAlign w:val="center"/>
            <w:hideMark/>
          </w:tcPr>
          <w:p w14:paraId="0A2C8990"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0.46</w:t>
            </w:r>
          </w:p>
        </w:tc>
        <w:tc>
          <w:tcPr>
            <w:tcW w:w="904" w:type="dxa"/>
            <w:gridSpan w:val="2"/>
            <w:tcBorders>
              <w:top w:val="nil"/>
              <w:left w:val="nil"/>
              <w:bottom w:val="single" w:sz="4" w:space="0" w:color="auto"/>
              <w:right w:val="single" w:sz="4" w:space="0" w:color="auto"/>
            </w:tcBorders>
            <w:noWrap/>
            <w:vAlign w:val="center"/>
            <w:hideMark/>
          </w:tcPr>
          <w:p w14:paraId="69A609B7"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0.38</w:t>
            </w:r>
          </w:p>
        </w:tc>
        <w:tc>
          <w:tcPr>
            <w:tcW w:w="936" w:type="dxa"/>
            <w:gridSpan w:val="3"/>
            <w:tcBorders>
              <w:top w:val="nil"/>
              <w:left w:val="nil"/>
              <w:bottom w:val="single" w:sz="4" w:space="0" w:color="auto"/>
              <w:right w:val="single" w:sz="4" w:space="0" w:color="auto"/>
            </w:tcBorders>
            <w:noWrap/>
            <w:vAlign w:val="center"/>
            <w:hideMark/>
          </w:tcPr>
          <w:p w14:paraId="21CF985C"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0.49</w:t>
            </w:r>
          </w:p>
        </w:tc>
        <w:tc>
          <w:tcPr>
            <w:tcW w:w="846" w:type="dxa"/>
            <w:gridSpan w:val="2"/>
            <w:tcBorders>
              <w:top w:val="nil"/>
              <w:left w:val="nil"/>
              <w:bottom w:val="single" w:sz="4" w:space="0" w:color="auto"/>
              <w:right w:val="single" w:sz="4" w:space="0" w:color="auto"/>
            </w:tcBorders>
            <w:noWrap/>
            <w:vAlign w:val="center"/>
            <w:hideMark/>
          </w:tcPr>
          <w:p w14:paraId="3414C3F6"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1.07</w:t>
            </w:r>
          </w:p>
        </w:tc>
        <w:tc>
          <w:tcPr>
            <w:tcW w:w="845" w:type="dxa"/>
            <w:gridSpan w:val="2"/>
            <w:tcBorders>
              <w:top w:val="nil"/>
              <w:left w:val="nil"/>
              <w:bottom w:val="single" w:sz="4" w:space="0" w:color="auto"/>
              <w:right w:val="single" w:sz="4" w:space="0" w:color="auto"/>
            </w:tcBorders>
            <w:noWrap/>
            <w:vAlign w:val="center"/>
            <w:hideMark/>
          </w:tcPr>
          <w:p w14:paraId="1BAE733C"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1.94</w:t>
            </w:r>
          </w:p>
        </w:tc>
        <w:tc>
          <w:tcPr>
            <w:tcW w:w="871" w:type="dxa"/>
            <w:gridSpan w:val="4"/>
            <w:tcBorders>
              <w:top w:val="nil"/>
              <w:left w:val="nil"/>
              <w:bottom w:val="single" w:sz="4" w:space="0" w:color="auto"/>
              <w:right w:val="single" w:sz="4" w:space="0" w:color="auto"/>
            </w:tcBorders>
            <w:noWrap/>
            <w:vAlign w:val="center"/>
            <w:hideMark/>
          </w:tcPr>
          <w:p w14:paraId="0E87877D"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28" w:type="dxa"/>
            <w:gridSpan w:val="2"/>
            <w:tcBorders>
              <w:top w:val="nil"/>
              <w:left w:val="nil"/>
              <w:bottom w:val="single" w:sz="4" w:space="0" w:color="auto"/>
              <w:right w:val="single" w:sz="4" w:space="0" w:color="auto"/>
            </w:tcBorders>
            <w:noWrap/>
            <w:vAlign w:val="center"/>
            <w:hideMark/>
          </w:tcPr>
          <w:p w14:paraId="00656CDA"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51" w:type="dxa"/>
            <w:gridSpan w:val="2"/>
            <w:tcBorders>
              <w:top w:val="nil"/>
              <w:left w:val="nil"/>
              <w:bottom w:val="single" w:sz="4" w:space="0" w:color="auto"/>
              <w:right w:val="single" w:sz="4" w:space="0" w:color="auto"/>
            </w:tcBorders>
            <w:noWrap/>
            <w:vAlign w:val="center"/>
            <w:hideMark/>
          </w:tcPr>
          <w:p w14:paraId="4E0DA1A4"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50" w:type="dxa"/>
            <w:gridSpan w:val="3"/>
            <w:tcBorders>
              <w:top w:val="nil"/>
              <w:left w:val="nil"/>
              <w:bottom w:val="single" w:sz="4" w:space="0" w:color="auto"/>
              <w:right w:val="single" w:sz="4" w:space="0" w:color="auto"/>
            </w:tcBorders>
            <w:noWrap/>
            <w:vAlign w:val="center"/>
            <w:hideMark/>
          </w:tcPr>
          <w:p w14:paraId="7BFEDE21"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r>
      <w:tr w:rsidR="002774B6" w:rsidRPr="002774B6" w14:paraId="4570EC78" w14:textId="77777777" w:rsidTr="005C2FC6">
        <w:trPr>
          <w:gridAfter w:val="1"/>
          <w:wAfter w:w="170" w:type="dxa"/>
          <w:trHeight w:val="255"/>
        </w:trPr>
        <w:tc>
          <w:tcPr>
            <w:tcW w:w="582" w:type="dxa"/>
            <w:gridSpan w:val="3"/>
            <w:tcBorders>
              <w:top w:val="nil"/>
              <w:left w:val="single" w:sz="4" w:space="0" w:color="auto"/>
              <w:bottom w:val="single" w:sz="4" w:space="0" w:color="auto"/>
              <w:right w:val="single" w:sz="4" w:space="0" w:color="auto"/>
            </w:tcBorders>
            <w:noWrap/>
            <w:vAlign w:val="bottom"/>
            <w:hideMark/>
          </w:tcPr>
          <w:p w14:paraId="3DECAB23" w14:textId="77777777" w:rsidR="002774B6" w:rsidRPr="002774B6" w:rsidRDefault="002774B6" w:rsidP="002774B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6</w:t>
            </w:r>
          </w:p>
        </w:tc>
        <w:tc>
          <w:tcPr>
            <w:tcW w:w="2963" w:type="dxa"/>
            <w:gridSpan w:val="5"/>
            <w:tcBorders>
              <w:top w:val="nil"/>
              <w:left w:val="nil"/>
              <w:bottom w:val="single" w:sz="4" w:space="0" w:color="auto"/>
              <w:right w:val="single" w:sz="4" w:space="0" w:color="auto"/>
            </w:tcBorders>
            <w:noWrap/>
            <w:vAlign w:val="bottom"/>
            <w:hideMark/>
          </w:tcPr>
          <w:p w14:paraId="3B6E3143" w14:textId="77777777" w:rsidR="002774B6" w:rsidRPr="002774B6" w:rsidRDefault="002774B6" w:rsidP="002774B6">
            <w:pPr>
              <w:spacing w:after="0" w:line="240" w:lineRule="auto"/>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MOTOR VEHICLE/CARS</w:t>
            </w:r>
          </w:p>
        </w:tc>
        <w:tc>
          <w:tcPr>
            <w:tcW w:w="1148" w:type="dxa"/>
            <w:gridSpan w:val="2"/>
            <w:tcBorders>
              <w:top w:val="nil"/>
              <w:left w:val="nil"/>
              <w:bottom w:val="single" w:sz="4" w:space="0" w:color="auto"/>
              <w:right w:val="single" w:sz="4" w:space="0" w:color="auto"/>
            </w:tcBorders>
            <w:noWrap/>
            <w:vAlign w:val="center"/>
            <w:hideMark/>
          </w:tcPr>
          <w:p w14:paraId="0D649F20"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18.56</w:t>
            </w:r>
          </w:p>
        </w:tc>
        <w:tc>
          <w:tcPr>
            <w:tcW w:w="904" w:type="dxa"/>
            <w:gridSpan w:val="2"/>
            <w:tcBorders>
              <w:top w:val="nil"/>
              <w:left w:val="nil"/>
              <w:bottom w:val="single" w:sz="4" w:space="0" w:color="auto"/>
              <w:right w:val="single" w:sz="4" w:space="0" w:color="auto"/>
            </w:tcBorders>
            <w:noWrap/>
            <w:vAlign w:val="center"/>
            <w:hideMark/>
          </w:tcPr>
          <w:p w14:paraId="6839428C"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24.62</w:t>
            </w:r>
          </w:p>
        </w:tc>
        <w:tc>
          <w:tcPr>
            <w:tcW w:w="936" w:type="dxa"/>
            <w:gridSpan w:val="3"/>
            <w:tcBorders>
              <w:top w:val="nil"/>
              <w:left w:val="nil"/>
              <w:bottom w:val="single" w:sz="4" w:space="0" w:color="auto"/>
              <w:right w:val="single" w:sz="4" w:space="0" w:color="auto"/>
            </w:tcBorders>
            <w:noWrap/>
            <w:vAlign w:val="center"/>
            <w:hideMark/>
          </w:tcPr>
          <w:p w14:paraId="77BAF057"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22.59</w:t>
            </w:r>
          </w:p>
        </w:tc>
        <w:tc>
          <w:tcPr>
            <w:tcW w:w="846" w:type="dxa"/>
            <w:gridSpan w:val="2"/>
            <w:tcBorders>
              <w:top w:val="nil"/>
              <w:left w:val="nil"/>
              <w:bottom w:val="single" w:sz="4" w:space="0" w:color="auto"/>
              <w:right w:val="single" w:sz="4" w:space="0" w:color="auto"/>
            </w:tcBorders>
            <w:noWrap/>
            <w:vAlign w:val="center"/>
            <w:hideMark/>
          </w:tcPr>
          <w:p w14:paraId="59A320A1"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20.21</w:t>
            </w:r>
          </w:p>
        </w:tc>
        <w:tc>
          <w:tcPr>
            <w:tcW w:w="845" w:type="dxa"/>
            <w:gridSpan w:val="2"/>
            <w:tcBorders>
              <w:top w:val="nil"/>
              <w:left w:val="nil"/>
              <w:bottom w:val="single" w:sz="4" w:space="0" w:color="auto"/>
              <w:right w:val="single" w:sz="4" w:space="0" w:color="auto"/>
            </w:tcBorders>
            <w:noWrap/>
            <w:vAlign w:val="center"/>
            <w:hideMark/>
          </w:tcPr>
          <w:p w14:paraId="6227B766"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18.88</w:t>
            </w:r>
          </w:p>
        </w:tc>
        <w:tc>
          <w:tcPr>
            <w:tcW w:w="871" w:type="dxa"/>
            <w:gridSpan w:val="4"/>
            <w:tcBorders>
              <w:top w:val="nil"/>
              <w:left w:val="nil"/>
              <w:bottom w:val="single" w:sz="4" w:space="0" w:color="auto"/>
              <w:right w:val="single" w:sz="4" w:space="0" w:color="auto"/>
            </w:tcBorders>
            <w:noWrap/>
            <w:vAlign w:val="center"/>
            <w:hideMark/>
          </w:tcPr>
          <w:p w14:paraId="28B3A803"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32.65</w:t>
            </w:r>
          </w:p>
        </w:tc>
        <w:tc>
          <w:tcPr>
            <w:tcW w:w="828" w:type="dxa"/>
            <w:gridSpan w:val="2"/>
            <w:tcBorders>
              <w:top w:val="nil"/>
              <w:left w:val="nil"/>
              <w:bottom w:val="single" w:sz="4" w:space="0" w:color="auto"/>
              <w:right w:val="single" w:sz="4" w:space="0" w:color="auto"/>
            </w:tcBorders>
            <w:noWrap/>
            <w:vAlign w:val="center"/>
            <w:hideMark/>
          </w:tcPr>
          <w:p w14:paraId="0F413A68"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-8.25</w:t>
            </w:r>
          </w:p>
        </w:tc>
        <w:tc>
          <w:tcPr>
            <w:tcW w:w="851" w:type="dxa"/>
            <w:gridSpan w:val="2"/>
            <w:tcBorders>
              <w:top w:val="nil"/>
              <w:left w:val="nil"/>
              <w:bottom w:val="single" w:sz="4" w:space="0" w:color="auto"/>
              <w:right w:val="single" w:sz="4" w:space="0" w:color="auto"/>
            </w:tcBorders>
            <w:noWrap/>
            <w:vAlign w:val="center"/>
            <w:hideMark/>
          </w:tcPr>
          <w:p w14:paraId="546A6DEA"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-10.54</w:t>
            </w:r>
          </w:p>
        </w:tc>
        <w:tc>
          <w:tcPr>
            <w:tcW w:w="850" w:type="dxa"/>
            <w:gridSpan w:val="3"/>
            <w:tcBorders>
              <w:top w:val="nil"/>
              <w:left w:val="nil"/>
              <w:bottom w:val="single" w:sz="4" w:space="0" w:color="auto"/>
              <w:right w:val="single" w:sz="4" w:space="0" w:color="auto"/>
            </w:tcBorders>
            <w:noWrap/>
            <w:vAlign w:val="center"/>
            <w:hideMark/>
          </w:tcPr>
          <w:p w14:paraId="12078473"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-6.58</w:t>
            </w:r>
          </w:p>
        </w:tc>
      </w:tr>
      <w:tr w:rsidR="002774B6" w:rsidRPr="002774B6" w14:paraId="2A4ED571" w14:textId="77777777" w:rsidTr="005C2FC6">
        <w:trPr>
          <w:gridAfter w:val="1"/>
          <w:wAfter w:w="170" w:type="dxa"/>
          <w:trHeight w:val="255"/>
        </w:trPr>
        <w:tc>
          <w:tcPr>
            <w:tcW w:w="582" w:type="dxa"/>
            <w:gridSpan w:val="3"/>
            <w:tcBorders>
              <w:top w:val="nil"/>
              <w:left w:val="single" w:sz="4" w:space="0" w:color="auto"/>
              <w:bottom w:val="single" w:sz="4" w:space="0" w:color="auto"/>
              <w:right w:val="single" w:sz="4" w:space="0" w:color="auto"/>
            </w:tcBorders>
            <w:noWrap/>
            <w:vAlign w:val="bottom"/>
            <w:hideMark/>
          </w:tcPr>
          <w:p w14:paraId="182C9661" w14:textId="77777777" w:rsidR="002774B6" w:rsidRPr="002774B6" w:rsidRDefault="002774B6" w:rsidP="002774B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 </w:t>
            </w:r>
          </w:p>
        </w:tc>
        <w:tc>
          <w:tcPr>
            <w:tcW w:w="2963" w:type="dxa"/>
            <w:gridSpan w:val="5"/>
            <w:tcBorders>
              <w:top w:val="nil"/>
              <w:left w:val="nil"/>
              <w:bottom w:val="single" w:sz="4" w:space="0" w:color="auto"/>
              <w:right w:val="single" w:sz="4" w:space="0" w:color="auto"/>
            </w:tcBorders>
            <w:noWrap/>
            <w:vAlign w:val="center"/>
            <w:hideMark/>
          </w:tcPr>
          <w:p w14:paraId="0191D877" w14:textId="77777777" w:rsidR="002774B6" w:rsidRPr="002774B6" w:rsidRDefault="002774B6" w:rsidP="002774B6">
            <w:pPr>
              <w:spacing w:after="0" w:line="240" w:lineRule="auto"/>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Share in total export</w:t>
            </w:r>
          </w:p>
        </w:tc>
        <w:tc>
          <w:tcPr>
            <w:tcW w:w="1148" w:type="dxa"/>
            <w:gridSpan w:val="2"/>
            <w:tcBorders>
              <w:top w:val="nil"/>
              <w:left w:val="nil"/>
              <w:bottom w:val="single" w:sz="4" w:space="0" w:color="auto"/>
              <w:right w:val="single" w:sz="4" w:space="0" w:color="auto"/>
            </w:tcBorders>
            <w:noWrap/>
            <w:vAlign w:val="center"/>
            <w:hideMark/>
          </w:tcPr>
          <w:p w14:paraId="5329FCCF"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1.51</w:t>
            </w:r>
          </w:p>
        </w:tc>
        <w:tc>
          <w:tcPr>
            <w:tcW w:w="904" w:type="dxa"/>
            <w:gridSpan w:val="2"/>
            <w:tcBorders>
              <w:top w:val="nil"/>
              <w:left w:val="nil"/>
              <w:bottom w:val="single" w:sz="4" w:space="0" w:color="auto"/>
              <w:right w:val="single" w:sz="4" w:space="0" w:color="auto"/>
            </w:tcBorders>
            <w:noWrap/>
            <w:vAlign w:val="center"/>
            <w:hideMark/>
          </w:tcPr>
          <w:p w14:paraId="0CD47828"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1.25</w:t>
            </w:r>
          </w:p>
        </w:tc>
        <w:tc>
          <w:tcPr>
            <w:tcW w:w="936" w:type="dxa"/>
            <w:gridSpan w:val="3"/>
            <w:tcBorders>
              <w:top w:val="nil"/>
              <w:left w:val="nil"/>
              <w:bottom w:val="single" w:sz="4" w:space="0" w:color="auto"/>
              <w:right w:val="single" w:sz="4" w:space="0" w:color="auto"/>
            </w:tcBorders>
            <w:noWrap/>
            <w:vAlign w:val="center"/>
            <w:hideMark/>
          </w:tcPr>
          <w:p w14:paraId="4E124523"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0.90</w:t>
            </w:r>
          </w:p>
        </w:tc>
        <w:tc>
          <w:tcPr>
            <w:tcW w:w="846" w:type="dxa"/>
            <w:gridSpan w:val="2"/>
            <w:tcBorders>
              <w:top w:val="nil"/>
              <w:left w:val="nil"/>
              <w:bottom w:val="single" w:sz="4" w:space="0" w:color="auto"/>
              <w:right w:val="single" w:sz="4" w:space="0" w:color="auto"/>
            </w:tcBorders>
            <w:noWrap/>
            <w:vAlign w:val="center"/>
            <w:hideMark/>
          </w:tcPr>
          <w:p w14:paraId="2DF328CE"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1.01</w:t>
            </w:r>
          </w:p>
        </w:tc>
        <w:tc>
          <w:tcPr>
            <w:tcW w:w="845" w:type="dxa"/>
            <w:gridSpan w:val="2"/>
            <w:tcBorders>
              <w:top w:val="nil"/>
              <w:left w:val="nil"/>
              <w:bottom w:val="single" w:sz="4" w:space="0" w:color="auto"/>
              <w:right w:val="single" w:sz="4" w:space="0" w:color="auto"/>
            </w:tcBorders>
            <w:noWrap/>
            <w:vAlign w:val="center"/>
            <w:hideMark/>
          </w:tcPr>
          <w:p w14:paraId="64713F8D"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1.43</w:t>
            </w:r>
          </w:p>
        </w:tc>
        <w:tc>
          <w:tcPr>
            <w:tcW w:w="871" w:type="dxa"/>
            <w:gridSpan w:val="4"/>
            <w:tcBorders>
              <w:top w:val="nil"/>
              <w:left w:val="nil"/>
              <w:bottom w:val="single" w:sz="4" w:space="0" w:color="auto"/>
              <w:right w:val="single" w:sz="4" w:space="0" w:color="auto"/>
            </w:tcBorders>
            <w:noWrap/>
            <w:vAlign w:val="center"/>
            <w:hideMark/>
          </w:tcPr>
          <w:p w14:paraId="679FE075"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28" w:type="dxa"/>
            <w:gridSpan w:val="2"/>
            <w:tcBorders>
              <w:top w:val="nil"/>
              <w:left w:val="nil"/>
              <w:bottom w:val="single" w:sz="4" w:space="0" w:color="auto"/>
              <w:right w:val="single" w:sz="4" w:space="0" w:color="auto"/>
            </w:tcBorders>
            <w:noWrap/>
            <w:vAlign w:val="center"/>
            <w:hideMark/>
          </w:tcPr>
          <w:p w14:paraId="7B72D958"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51" w:type="dxa"/>
            <w:gridSpan w:val="2"/>
            <w:tcBorders>
              <w:top w:val="nil"/>
              <w:left w:val="nil"/>
              <w:bottom w:val="single" w:sz="4" w:space="0" w:color="auto"/>
              <w:right w:val="single" w:sz="4" w:space="0" w:color="auto"/>
            </w:tcBorders>
            <w:noWrap/>
            <w:vAlign w:val="center"/>
            <w:hideMark/>
          </w:tcPr>
          <w:p w14:paraId="0008F3F1"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50" w:type="dxa"/>
            <w:gridSpan w:val="3"/>
            <w:tcBorders>
              <w:top w:val="nil"/>
              <w:left w:val="nil"/>
              <w:bottom w:val="single" w:sz="4" w:space="0" w:color="auto"/>
              <w:right w:val="single" w:sz="4" w:space="0" w:color="auto"/>
            </w:tcBorders>
            <w:noWrap/>
            <w:vAlign w:val="center"/>
            <w:hideMark/>
          </w:tcPr>
          <w:p w14:paraId="72831879"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r>
      <w:tr w:rsidR="002774B6" w:rsidRPr="002774B6" w14:paraId="00B904D3" w14:textId="77777777" w:rsidTr="005C2FC6">
        <w:trPr>
          <w:gridAfter w:val="1"/>
          <w:wAfter w:w="170" w:type="dxa"/>
          <w:trHeight w:val="255"/>
        </w:trPr>
        <w:tc>
          <w:tcPr>
            <w:tcW w:w="582" w:type="dxa"/>
            <w:gridSpan w:val="3"/>
            <w:tcBorders>
              <w:top w:val="nil"/>
              <w:left w:val="single" w:sz="4" w:space="0" w:color="auto"/>
              <w:bottom w:val="single" w:sz="4" w:space="0" w:color="auto"/>
              <w:right w:val="single" w:sz="4" w:space="0" w:color="auto"/>
            </w:tcBorders>
            <w:noWrap/>
            <w:vAlign w:val="bottom"/>
            <w:hideMark/>
          </w:tcPr>
          <w:p w14:paraId="2D5F1E81" w14:textId="77777777" w:rsidR="002774B6" w:rsidRPr="002774B6" w:rsidRDefault="002774B6" w:rsidP="002774B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7</w:t>
            </w:r>
          </w:p>
        </w:tc>
        <w:tc>
          <w:tcPr>
            <w:tcW w:w="2963" w:type="dxa"/>
            <w:gridSpan w:val="5"/>
            <w:tcBorders>
              <w:top w:val="nil"/>
              <w:left w:val="nil"/>
              <w:bottom w:val="single" w:sz="4" w:space="0" w:color="auto"/>
              <w:right w:val="single" w:sz="4" w:space="0" w:color="auto"/>
            </w:tcBorders>
            <w:noWrap/>
            <w:vAlign w:val="bottom"/>
            <w:hideMark/>
          </w:tcPr>
          <w:p w14:paraId="3521F529" w14:textId="77777777" w:rsidR="002774B6" w:rsidRPr="002774B6" w:rsidRDefault="002774B6" w:rsidP="002774B6">
            <w:pPr>
              <w:spacing w:after="0" w:line="240" w:lineRule="auto"/>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ALUMINIUM, PRODUCTS OF ALUMINM</w:t>
            </w:r>
          </w:p>
        </w:tc>
        <w:tc>
          <w:tcPr>
            <w:tcW w:w="1148" w:type="dxa"/>
            <w:gridSpan w:val="2"/>
            <w:tcBorders>
              <w:top w:val="nil"/>
              <w:left w:val="nil"/>
              <w:bottom w:val="single" w:sz="4" w:space="0" w:color="auto"/>
              <w:right w:val="single" w:sz="4" w:space="0" w:color="auto"/>
            </w:tcBorders>
            <w:noWrap/>
            <w:vAlign w:val="center"/>
            <w:hideMark/>
          </w:tcPr>
          <w:p w14:paraId="72C6E582"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7.85</w:t>
            </w:r>
          </w:p>
        </w:tc>
        <w:tc>
          <w:tcPr>
            <w:tcW w:w="904" w:type="dxa"/>
            <w:gridSpan w:val="2"/>
            <w:tcBorders>
              <w:top w:val="nil"/>
              <w:left w:val="nil"/>
              <w:bottom w:val="single" w:sz="4" w:space="0" w:color="auto"/>
              <w:right w:val="single" w:sz="4" w:space="0" w:color="auto"/>
            </w:tcBorders>
            <w:noWrap/>
            <w:vAlign w:val="center"/>
            <w:hideMark/>
          </w:tcPr>
          <w:p w14:paraId="535F8E3B"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19.13</w:t>
            </w:r>
          </w:p>
        </w:tc>
        <w:tc>
          <w:tcPr>
            <w:tcW w:w="936" w:type="dxa"/>
            <w:gridSpan w:val="3"/>
            <w:tcBorders>
              <w:top w:val="nil"/>
              <w:left w:val="nil"/>
              <w:bottom w:val="single" w:sz="4" w:space="0" w:color="auto"/>
              <w:right w:val="single" w:sz="4" w:space="0" w:color="auto"/>
            </w:tcBorders>
            <w:noWrap/>
            <w:vAlign w:val="center"/>
            <w:hideMark/>
          </w:tcPr>
          <w:p w14:paraId="13E05DC1"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21.14</w:t>
            </w:r>
          </w:p>
        </w:tc>
        <w:tc>
          <w:tcPr>
            <w:tcW w:w="846" w:type="dxa"/>
            <w:gridSpan w:val="2"/>
            <w:tcBorders>
              <w:top w:val="nil"/>
              <w:left w:val="nil"/>
              <w:bottom w:val="single" w:sz="4" w:space="0" w:color="auto"/>
              <w:right w:val="single" w:sz="4" w:space="0" w:color="auto"/>
            </w:tcBorders>
            <w:noWrap/>
            <w:vAlign w:val="center"/>
            <w:hideMark/>
          </w:tcPr>
          <w:p w14:paraId="2179734E"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9.66</w:t>
            </w:r>
          </w:p>
        </w:tc>
        <w:tc>
          <w:tcPr>
            <w:tcW w:w="845" w:type="dxa"/>
            <w:gridSpan w:val="2"/>
            <w:tcBorders>
              <w:top w:val="nil"/>
              <w:left w:val="nil"/>
              <w:bottom w:val="single" w:sz="4" w:space="0" w:color="auto"/>
              <w:right w:val="single" w:sz="4" w:space="0" w:color="auto"/>
            </w:tcBorders>
            <w:noWrap/>
            <w:vAlign w:val="center"/>
            <w:hideMark/>
          </w:tcPr>
          <w:p w14:paraId="4B494809"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17.01</w:t>
            </w:r>
          </w:p>
        </w:tc>
        <w:tc>
          <w:tcPr>
            <w:tcW w:w="871" w:type="dxa"/>
            <w:gridSpan w:val="4"/>
            <w:tcBorders>
              <w:top w:val="nil"/>
              <w:left w:val="nil"/>
              <w:bottom w:val="single" w:sz="4" w:space="0" w:color="auto"/>
              <w:right w:val="single" w:sz="4" w:space="0" w:color="auto"/>
            </w:tcBorders>
            <w:noWrap/>
            <w:vAlign w:val="center"/>
            <w:hideMark/>
          </w:tcPr>
          <w:p w14:paraId="555D4CCC"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143.69</w:t>
            </w:r>
          </w:p>
        </w:tc>
        <w:tc>
          <w:tcPr>
            <w:tcW w:w="828" w:type="dxa"/>
            <w:gridSpan w:val="2"/>
            <w:tcBorders>
              <w:top w:val="nil"/>
              <w:left w:val="nil"/>
              <w:bottom w:val="single" w:sz="4" w:space="0" w:color="auto"/>
              <w:right w:val="single" w:sz="4" w:space="0" w:color="auto"/>
            </w:tcBorders>
            <w:noWrap/>
            <w:vAlign w:val="center"/>
            <w:hideMark/>
          </w:tcPr>
          <w:p w14:paraId="77580B8B"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10.51</w:t>
            </w:r>
          </w:p>
        </w:tc>
        <w:tc>
          <w:tcPr>
            <w:tcW w:w="851" w:type="dxa"/>
            <w:gridSpan w:val="2"/>
            <w:tcBorders>
              <w:top w:val="nil"/>
              <w:left w:val="nil"/>
              <w:bottom w:val="single" w:sz="4" w:space="0" w:color="auto"/>
              <w:right w:val="single" w:sz="4" w:space="0" w:color="auto"/>
            </w:tcBorders>
            <w:noWrap/>
            <w:vAlign w:val="center"/>
            <w:hideMark/>
          </w:tcPr>
          <w:p w14:paraId="07BFC0BF"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-54.30</w:t>
            </w:r>
          </w:p>
        </w:tc>
        <w:tc>
          <w:tcPr>
            <w:tcW w:w="850" w:type="dxa"/>
            <w:gridSpan w:val="3"/>
            <w:tcBorders>
              <w:top w:val="nil"/>
              <w:left w:val="nil"/>
              <w:bottom w:val="single" w:sz="4" w:space="0" w:color="auto"/>
              <w:right w:val="single" w:sz="4" w:space="0" w:color="auto"/>
            </w:tcBorders>
            <w:noWrap/>
            <w:vAlign w:val="center"/>
            <w:hideMark/>
          </w:tcPr>
          <w:p w14:paraId="62520C91"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76.13</w:t>
            </w:r>
          </w:p>
        </w:tc>
      </w:tr>
      <w:tr w:rsidR="002774B6" w:rsidRPr="002774B6" w14:paraId="3C8F55A2" w14:textId="77777777" w:rsidTr="005C2FC6">
        <w:trPr>
          <w:gridAfter w:val="1"/>
          <w:wAfter w:w="170" w:type="dxa"/>
          <w:trHeight w:val="255"/>
        </w:trPr>
        <w:tc>
          <w:tcPr>
            <w:tcW w:w="582" w:type="dxa"/>
            <w:gridSpan w:val="3"/>
            <w:tcBorders>
              <w:top w:val="nil"/>
              <w:left w:val="single" w:sz="4" w:space="0" w:color="auto"/>
              <w:bottom w:val="single" w:sz="4" w:space="0" w:color="auto"/>
              <w:right w:val="single" w:sz="4" w:space="0" w:color="auto"/>
            </w:tcBorders>
            <w:noWrap/>
            <w:vAlign w:val="bottom"/>
            <w:hideMark/>
          </w:tcPr>
          <w:p w14:paraId="54FAC694" w14:textId="77777777" w:rsidR="002774B6" w:rsidRPr="002774B6" w:rsidRDefault="002774B6" w:rsidP="002774B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 </w:t>
            </w:r>
          </w:p>
        </w:tc>
        <w:tc>
          <w:tcPr>
            <w:tcW w:w="2963" w:type="dxa"/>
            <w:gridSpan w:val="5"/>
            <w:tcBorders>
              <w:top w:val="nil"/>
              <w:left w:val="nil"/>
              <w:bottom w:val="single" w:sz="4" w:space="0" w:color="auto"/>
              <w:right w:val="single" w:sz="4" w:space="0" w:color="auto"/>
            </w:tcBorders>
            <w:noWrap/>
            <w:vAlign w:val="center"/>
            <w:hideMark/>
          </w:tcPr>
          <w:p w14:paraId="33A0F0E3" w14:textId="77777777" w:rsidR="002774B6" w:rsidRPr="002774B6" w:rsidRDefault="002774B6" w:rsidP="002774B6">
            <w:pPr>
              <w:spacing w:after="0" w:line="240" w:lineRule="auto"/>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Share in total export</w:t>
            </w:r>
          </w:p>
        </w:tc>
        <w:tc>
          <w:tcPr>
            <w:tcW w:w="1148" w:type="dxa"/>
            <w:gridSpan w:val="2"/>
            <w:tcBorders>
              <w:top w:val="nil"/>
              <w:left w:val="nil"/>
              <w:bottom w:val="single" w:sz="4" w:space="0" w:color="auto"/>
              <w:right w:val="single" w:sz="4" w:space="0" w:color="auto"/>
            </w:tcBorders>
            <w:noWrap/>
            <w:vAlign w:val="center"/>
            <w:hideMark/>
          </w:tcPr>
          <w:p w14:paraId="40460098"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0.64</w:t>
            </w:r>
          </w:p>
        </w:tc>
        <w:tc>
          <w:tcPr>
            <w:tcW w:w="904" w:type="dxa"/>
            <w:gridSpan w:val="2"/>
            <w:tcBorders>
              <w:top w:val="nil"/>
              <w:left w:val="nil"/>
              <w:bottom w:val="single" w:sz="4" w:space="0" w:color="auto"/>
              <w:right w:val="single" w:sz="4" w:space="0" w:color="auto"/>
            </w:tcBorders>
            <w:noWrap/>
            <w:vAlign w:val="center"/>
            <w:hideMark/>
          </w:tcPr>
          <w:p w14:paraId="58918FAC"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0.97</w:t>
            </w:r>
          </w:p>
        </w:tc>
        <w:tc>
          <w:tcPr>
            <w:tcW w:w="936" w:type="dxa"/>
            <w:gridSpan w:val="3"/>
            <w:tcBorders>
              <w:top w:val="nil"/>
              <w:left w:val="nil"/>
              <w:bottom w:val="single" w:sz="4" w:space="0" w:color="auto"/>
              <w:right w:val="single" w:sz="4" w:space="0" w:color="auto"/>
            </w:tcBorders>
            <w:noWrap/>
            <w:vAlign w:val="center"/>
            <w:hideMark/>
          </w:tcPr>
          <w:p w14:paraId="6341AC1F"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0.84</w:t>
            </w:r>
          </w:p>
        </w:tc>
        <w:tc>
          <w:tcPr>
            <w:tcW w:w="846" w:type="dxa"/>
            <w:gridSpan w:val="2"/>
            <w:tcBorders>
              <w:top w:val="nil"/>
              <w:left w:val="nil"/>
              <w:bottom w:val="single" w:sz="4" w:space="0" w:color="auto"/>
              <w:right w:val="single" w:sz="4" w:space="0" w:color="auto"/>
            </w:tcBorders>
            <w:noWrap/>
            <w:vAlign w:val="center"/>
            <w:hideMark/>
          </w:tcPr>
          <w:p w14:paraId="69751E04"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0.48</w:t>
            </w:r>
          </w:p>
        </w:tc>
        <w:tc>
          <w:tcPr>
            <w:tcW w:w="845" w:type="dxa"/>
            <w:gridSpan w:val="2"/>
            <w:tcBorders>
              <w:top w:val="nil"/>
              <w:left w:val="nil"/>
              <w:bottom w:val="single" w:sz="4" w:space="0" w:color="auto"/>
              <w:right w:val="single" w:sz="4" w:space="0" w:color="auto"/>
            </w:tcBorders>
            <w:noWrap/>
            <w:vAlign w:val="center"/>
            <w:hideMark/>
          </w:tcPr>
          <w:p w14:paraId="4D0D69DA"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1.29</w:t>
            </w:r>
          </w:p>
        </w:tc>
        <w:tc>
          <w:tcPr>
            <w:tcW w:w="871" w:type="dxa"/>
            <w:gridSpan w:val="4"/>
            <w:tcBorders>
              <w:top w:val="nil"/>
              <w:left w:val="nil"/>
              <w:bottom w:val="single" w:sz="4" w:space="0" w:color="auto"/>
              <w:right w:val="single" w:sz="4" w:space="0" w:color="auto"/>
            </w:tcBorders>
            <w:noWrap/>
            <w:vAlign w:val="center"/>
            <w:hideMark/>
          </w:tcPr>
          <w:p w14:paraId="16A2A757"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28" w:type="dxa"/>
            <w:gridSpan w:val="2"/>
            <w:tcBorders>
              <w:top w:val="nil"/>
              <w:left w:val="nil"/>
              <w:bottom w:val="single" w:sz="4" w:space="0" w:color="auto"/>
              <w:right w:val="single" w:sz="4" w:space="0" w:color="auto"/>
            </w:tcBorders>
            <w:noWrap/>
            <w:vAlign w:val="center"/>
            <w:hideMark/>
          </w:tcPr>
          <w:p w14:paraId="78FA7198"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51" w:type="dxa"/>
            <w:gridSpan w:val="2"/>
            <w:tcBorders>
              <w:top w:val="nil"/>
              <w:left w:val="nil"/>
              <w:bottom w:val="single" w:sz="4" w:space="0" w:color="auto"/>
              <w:right w:val="single" w:sz="4" w:space="0" w:color="auto"/>
            </w:tcBorders>
            <w:noWrap/>
            <w:vAlign w:val="center"/>
            <w:hideMark/>
          </w:tcPr>
          <w:p w14:paraId="3AE4CEE1"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50" w:type="dxa"/>
            <w:gridSpan w:val="3"/>
            <w:tcBorders>
              <w:top w:val="nil"/>
              <w:left w:val="nil"/>
              <w:bottom w:val="single" w:sz="4" w:space="0" w:color="auto"/>
              <w:right w:val="single" w:sz="4" w:space="0" w:color="auto"/>
            </w:tcBorders>
            <w:noWrap/>
            <w:vAlign w:val="center"/>
            <w:hideMark/>
          </w:tcPr>
          <w:p w14:paraId="76E14E8C"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r>
      <w:tr w:rsidR="002774B6" w:rsidRPr="002774B6" w14:paraId="25954B84" w14:textId="77777777" w:rsidTr="005C2FC6">
        <w:trPr>
          <w:gridAfter w:val="1"/>
          <w:wAfter w:w="170" w:type="dxa"/>
          <w:trHeight w:val="255"/>
        </w:trPr>
        <w:tc>
          <w:tcPr>
            <w:tcW w:w="582" w:type="dxa"/>
            <w:gridSpan w:val="3"/>
            <w:tcBorders>
              <w:top w:val="nil"/>
              <w:left w:val="single" w:sz="4" w:space="0" w:color="auto"/>
              <w:bottom w:val="single" w:sz="4" w:space="0" w:color="auto"/>
              <w:right w:val="single" w:sz="4" w:space="0" w:color="auto"/>
            </w:tcBorders>
            <w:noWrap/>
            <w:vAlign w:val="bottom"/>
            <w:hideMark/>
          </w:tcPr>
          <w:p w14:paraId="61D4FC98" w14:textId="77777777" w:rsidR="002774B6" w:rsidRPr="002774B6" w:rsidRDefault="002774B6" w:rsidP="002774B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8</w:t>
            </w:r>
          </w:p>
        </w:tc>
        <w:tc>
          <w:tcPr>
            <w:tcW w:w="2963" w:type="dxa"/>
            <w:gridSpan w:val="5"/>
            <w:tcBorders>
              <w:top w:val="nil"/>
              <w:left w:val="nil"/>
              <w:bottom w:val="single" w:sz="4" w:space="0" w:color="auto"/>
              <w:right w:val="single" w:sz="4" w:space="0" w:color="auto"/>
            </w:tcBorders>
            <w:noWrap/>
            <w:vAlign w:val="bottom"/>
            <w:hideMark/>
          </w:tcPr>
          <w:p w14:paraId="42EB3DC4" w14:textId="77777777" w:rsidR="002774B6" w:rsidRPr="002774B6" w:rsidRDefault="002774B6" w:rsidP="002774B6">
            <w:pPr>
              <w:spacing w:after="0" w:line="240" w:lineRule="auto"/>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PLASTC SHT, FILM, PLTS ETC</w:t>
            </w:r>
          </w:p>
        </w:tc>
        <w:tc>
          <w:tcPr>
            <w:tcW w:w="1148" w:type="dxa"/>
            <w:gridSpan w:val="2"/>
            <w:tcBorders>
              <w:top w:val="nil"/>
              <w:left w:val="nil"/>
              <w:bottom w:val="single" w:sz="4" w:space="0" w:color="auto"/>
              <w:right w:val="single" w:sz="4" w:space="0" w:color="auto"/>
            </w:tcBorders>
            <w:noWrap/>
            <w:vAlign w:val="center"/>
            <w:hideMark/>
          </w:tcPr>
          <w:p w14:paraId="55AD6D48"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4.41</w:t>
            </w:r>
          </w:p>
        </w:tc>
        <w:tc>
          <w:tcPr>
            <w:tcW w:w="904" w:type="dxa"/>
            <w:gridSpan w:val="2"/>
            <w:tcBorders>
              <w:top w:val="nil"/>
              <w:left w:val="nil"/>
              <w:bottom w:val="single" w:sz="4" w:space="0" w:color="auto"/>
              <w:right w:val="single" w:sz="4" w:space="0" w:color="auto"/>
            </w:tcBorders>
            <w:noWrap/>
            <w:vAlign w:val="center"/>
            <w:hideMark/>
          </w:tcPr>
          <w:p w14:paraId="79463E44"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5.48</w:t>
            </w:r>
          </w:p>
        </w:tc>
        <w:tc>
          <w:tcPr>
            <w:tcW w:w="936" w:type="dxa"/>
            <w:gridSpan w:val="3"/>
            <w:tcBorders>
              <w:top w:val="nil"/>
              <w:left w:val="nil"/>
              <w:bottom w:val="single" w:sz="4" w:space="0" w:color="auto"/>
              <w:right w:val="single" w:sz="4" w:space="0" w:color="auto"/>
            </w:tcBorders>
            <w:noWrap/>
            <w:vAlign w:val="center"/>
            <w:hideMark/>
          </w:tcPr>
          <w:p w14:paraId="16CFB21D"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7.34</w:t>
            </w:r>
          </w:p>
        </w:tc>
        <w:tc>
          <w:tcPr>
            <w:tcW w:w="846" w:type="dxa"/>
            <w:gridSpan w:val="2"/>
            <w:tcBorders>
              <w:top w:val="nil"/>
              <w:left w:val="nil"/>
              <w:bottom w:val="single" w:sz="4" w:space="0" w:color="auto"/>
              <w:right w:val="single" w:sz="4" w:space="0" w:color="auto"/>
            </w:tcBorders>
            <w:noWrap/>
            <w:vAlign w:val="center"/>
            <w:hideMark/>
          </w:tcPr>
          <w:p w14:paraId="38F0BC4E"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10.01</w:t>
            </w:r>
          </w:p>
        </w:tc>
        <w:tc>
          <w:tcPr>
            <w:tcW w:w="845" w:type="dxa"/>
            <w:gridSpan w:val="2"/>
            <w:tcBorders>
              <w:top w:val="nil"/>
              <w:left w:val="nil"/>
              <w:bottom w:val="single" w:sz="4" w:space="0" w:color="auto"/>
              <w:right w:val="single" w:sz="4" w:space="0" w:color="auto"/>
            </w:tcBorders>
            <w:noWrap/>
            <w:vAlign w:val="center"/>
            <w:hideMark/>
          </w:tcPr>
          <w:p w14:paraId="0674D7E7"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16.33</w:t>
            </w:r>
          </w:p>
        </w:tc>
        <w:tc>
          <w:tcPr>
            <w:tcW w:w="871" w:type="dxa"/>
            <w:gridSpan w:val="4"/>
            <w:tcBorders>
              <w:top w:val="nil"/>
              <w:left w:val="nil"/>
              <w:bottom w:val="single" w:sz="4" w:space="0" w:color="auto"/>
              <w:right w:val="single" w:sz="4" w:space="0" w:color="auto"/>
            </w:tcBorders>
            <w:noWrap/>
            <w:vAlign w:val="center"/>
            <w:hideMark/>
          </w:tcPr>
          <w:p w14:paraId="4B8B6B0B"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24.26</w:t>
            </w:r>
          </w:p>
        </w:tc>
        <w:tc>
          <w:tcPr>
            <w:tcW w:w="828" w:type="dxa"/>
            <w:gridSpan w:val="2"/>
            <w:tcBorders>
              <w:top w:val="nil"/>
              <w:left w:val="nil"/>
              <w:bottom w:val="single" w:sz="4" w:space="0" w:color="auto"/>
              <w:right w:val="single" w:sz="4" w:space="0" w:color="auto"/>
            </w:tcBorders>
            <w:noWrap/>
            <w:vAlign w:val="center"/>
            <w:hideMark/>
          </w:tcPr>
          <w:p w14:paraId="3E9672B1"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33.94</w:t>
            </w:r>
          </w:p>
        </w:tc>
        <w:tc>
          <w:tcPr>
            <w:tcW w:w="851" w:type="dxa"/>
            <w:gridSpan w:val="2"/>
            <w:tcBorders>
              <w:top w:val="nil"/>
              <w:left w:val="nil"/>
              <w:bottom w:val="single" w:sz="4" w:space="0" w:color="auto"/>
              <w:right w:val="single" w:sz="4" w:space="0" w:color="auto"/>
            </w:tcBorders>
            <w:noWrap/>
            <w:vAlign w:val="center"/>
            <w:hideMark/>
          </w:tcPr>
          <w:p w14:paraId="2CBAC725"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36.38</w:t>
            </w:r>
          </w:p>
        </w:tc>
        <w:tc>
          <w:tcPr>
            <w:tcW w:w="850" w:type="dxa"/>
            <w:gridSpan w:val="3"/>
            <w:tcBorders>
              <w:top w:val="nil"/>
              <w:left w:val="nil"/>
              <w:bottom w:val="single" w:sz="4" w:space="0" w:color="auto"/>
              <w:right w:val="single" w:sz="4" w:space="0" w:color="auto"/>
            </w:tcBorders>
            <w:noWrap/>
            <w:vAlign w:val="center"/>
            <w:hideMark/>
          </w:tcPr>
          <w:p w14:paraId="14769DED"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63.15</w:t>
            </w:r>
          </w:p>
        </w:tc>
      </w:tr>
      <w:tr w:rsidR="002774B6" w:rsidRPr="002774B6" w14:paraId="061EB41F" w14:textId="77777777" w:rsidTr="005C2FC6">
        <w:trPr>
          <w:gridAfter w:val="1"/>
          <w:wAfter w:w="170" w:type="dxa"/>
          <w:trHeight w:val="255"/>
        </w:trPr>
        <w:tc>
          <w:tcPr>
            <w:tcW w:w="582" w:type="dxa"/>
            <w:gridSpan w:val="3"/>
            <w:tcBorders>
              <w:top w:val="nil"/>
              <w:left w:val="single" w:sz="4" w:space="0" w:color="auto"/>
              <w:bottom w:val="single" w:sz="4" w:space="0" w:color="auto"/>
              <w:right w:val="single" w:sz="4" w:space="0" w:color="auto"/>
            </w:tcBorders>
            <w:noWrap/>
            <w:vAlign w:val="bottom"/>
            <w:hideMark/>
          </w:tcPr>
          <w:p w14:paraId="6B7EC631" w14:textId="77777777" w:rsidR="002774B6" w:rsidRPr="002774B6" w:rsidRDefault="002774B6" w:rsidP="002774B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 </w:t>
            </w:r>
          </w:p>
        </w:tc>
        <w:tc>
          <w:tcPr>
            <w:tcW w:w="2963" w:type="dxa"/>
            <w:gridSpan w:val="5"/>
            <w:tcBorders>
              <w:top w:val="nil"/>
              <w:left w:val="nil"/>
              <w:bottom w:val="single" w:sz="4" w:space="0" w:color="auto"/>
              <w:right w:val="single" w:sz="4" w:space="0" w:color="auto"/>
            </w:tcBorders>
            <w:noWrap/>
            <w:vAlign w:val="center"/>
            <w:hideMark/>
          </w:tcPr>
          <w:p w14:paraId="79862B53" w14:textId="77777777" w:rsidR="002774B6" w:rsidRPr="002774B6" w:rsidRDefault="002774B6" w:rsidP="002774B6">
            <w:pPr>
              <w:spacing w:after="0" w:line="240" w:lineRule="auto"/>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Share in total export</w:t>
            </w:r>
          </w:p>
        </w:tc>
        <w:tc>
          <w:tcPr>
            <w:tcW w:w="1148" w:type="dxa"/>
            <w:gridSpan w:val="2"/>
            <w:tcBorders>
              <w:top w:val="nil"/>
              <w:left w:val="nil"/>
              <w:bottom w:val="single" w:sz="4" w:space="0" w:color="auto"/>
              <w:right w:val="single" w:sz="4" w:space="0" w:color="auto"/>
            </w:tcBorders>
            <w:noWrap/>
            <w:vAlign w:val="center"/>
            <w:hideMark/>
          </w:tcPr>
          <w:p w14:paraId="2B391427"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0.36</w:t>
            </w:r>
          </w:p>
        </w:tc>
        <w:tc>
          <w:tcPr>
            <w:tcW w:w="904" w:type="dxa"/>
            <w:gridSpan w:val="2"/>
            <w:tcBorders>
              <w:top w:val="nil"/>
              <w:left w:val="nil"/>
              <w:bottom w:val="single" w:sz="4" w:space="0" w:color="auto"/>
              <w:right w:val="single" w:sz="4" w:space="0" w:color="auto"/>
            </w:tcBorders>
            <w:noWrap/>
            <w:vAlign w:val="center"/>
            <w:hideMark/>
          </w:tcPr>
          <w:p w14:paraId="47C6DF87"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0.28</w:t>
            </w:r>
          </w:p>
        </w:tc>
        <w:tc>
          <w:tcPr>
            <w:tcW w:w="936" w:type="dxa"/>
            <w:gridSpan w:val="3"/>
            <w:tcBorders>
              <w:top w:val="nil"/>
              <w:left w:val="nil"/>
              <w:bottom w:val="single" w:sz="4" w:space="0" w:color="auto"/>
              <w:right w:val="single" w:sz="4" w:space="0" w:color="auto"/>
            </w:tcBorders>
            <w:noWrap/>
            <w:vAlign w:val="center"/>
            <w:hideMark/>
          </w:tcPr>
          <w:p w14:paraId="337A2332"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0.29</w:t>
            </w:r>
          </w:p>
        </w:tc>
        <w:tc>
          <w:tcPr>
            <w:tcW w:w="846" w:type="dxa"/>
            <w:gridSpan w:val="2"/>
            <w:tcBorders>
              <w:top w:val="nil"/>
              <w:left w:val="nil"/>
              <w:bottom w:val="single" w:sz="4" w:space="0" w:color="auto"/>
              <w:right w:val="single" w:sz="4" w:space="0" w:color="auto"/>
            </w:tcBorders>
            <w:noWrap/>
            <w:vAlign w:val="center"/>
            <w:hideMark/>
          </w:tcPr>
          <w:p w14:paraId="6FA5173E"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0.50</w:t>
            </w:r>
          </w:p>
        </w:tc>
        <w:tc>
          <w:tcPr>
            <w:tcW w:w="845" w:type="dxa"/>
            <w:gridSpan w:val="2"/>
            <w:tcBorders>
              <w:top w:val="nil"/>
              <w:left w:val="nil"/>
              <w:bottom w:val="single" w:sz="4" w:space="0" w:color="auto"/>
              <w:right w:val="single" w:sz="4" w:space="0" w:color="auto"/>
            </w:tcBorders>
            <w:noWrap/>
            <w:vAlign w:val="center"/>
            <w:hideMark/>
          </w:tcPr>
          <w:p w14:paraId="2B799CD0"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1.23</w:t>
            </w:r>
          </w:p>
        </w:tc>
        <w:tc>
          <w:tcPr>
            <w:tcW w:w="871" w:type="dxa"/>
            <w:gridSpan w:val="4"/>
            <w:tcBorders>
              <w:top w:val="nil"/>
              <w:left w:val="nil"/>
              <w:bottom w:val="single" w:sz="4" w:space="0" w:color="auto"/>
              <w:right w:val="single" w:sz="4" w:space="0" w:color="auto"/>
            </w:tcBorders>
            <w:noWrap/>
            <w:vAlign w:val="center"/>
            <w:hideMark/>
          </w:tcPr>
          <w:p w14:paraId="738191A1"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28" w:type="dxa"/>
            <w:gridSpan w:val="2"/>
            <w:tcBorders>
              <w:top w:val="nil"/>
              <w:left w:val="nil"/>
              <w:bottom w:val="single" w:sz="4" w:space="0" w:color="auto"/>
              <w:right w:val="single" w:sz="4" w:space="0" w:color="auto"/>
            </w:tcBorders>
            <w:noWrap/>
            <w:vAlign w:val="center"/>
            <w:hideMark/>
          </w:tcPr>
          <w:p w14:paraId="4CBCC4EC"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51" w:type="dxa"/>
            <w:gridSpan w:val="2"/>
            <w:tcBorders>
              <w:top w:val="nil"/>
              <w:left w:val="nil"/>
              <w:bottom w:val="single" w:sz="4" w:space="0" w:color="auto"/>
              <w:right w:val="single" w:sz="4" w:space="0" w:color="auto"/>
            </w:tcBorders>
            <w:noWrap/>
            <w:vAlign w:val="center"/>
            <w:hideMark/>
          </w:tcPr>
          <w:p w14:paraId="00DB8042"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50" w:type="dxa"/>
            <w:gridSpan w:val="3"/>
            <w:tcBorders>
              <w:top w:val="nil"/>
              <w:left w:val="nil"/>
              <w:bottom w:val="single" w:sz="4" w:space="0" w:color="auto"/>
              <w:right w:val="single" w:sz="4" w:space="0" w:color="auto"/>
            </w:tcBorders>
            <w:noWrap/>
            <w:vAlign w:val="center"/>
            <w:hideMark/>
          </w:tcPr>
          <w:p w14:paraId="7FD41460"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r>
      <w:tr w:rsidR="002774B6" w:rsidRPr="002774B6" w14:paraId="10E783EB" w14:textId="77777777" w:rsidTr="005C2FC6">
        <w:trPr>
          <w:gridAfter w:val="1"/>
          <w:wAfter w:w="170" w:type="dxa"/>
          <w:trHeight w:val="255"/>
        </w:trPr>
        <w:tc>
          <w:tcPr>
            <w:tcW w:w="582" w:type="dxa"/>
            <w:gridSpan w:val="3"/>
            <w:tcBorders>
              <w:top w:val="nil"/>
              <w:left w:val="single" w:sz="4" w:space="0" w:color="auto"/>
              <w:bottom w:val="single" w:sz="4" w:space="0" w:color="auto"/>
              <w:right w:val="single" w:sz="4" w:space="0" w:color="auto"/>
            </w:tcBorders>
            <w:noWrap/>
            <w:vAlign w:val="bottom"/>
            <w:hideMark/>
          </w:tcPr>
          <w:p w14:paraId="62F0B10C" w14:textId="77777777" w:rsidR="002774B6" w:rsidRPr="002774B6" w:rsidRDefault="002774B6" w:rsidP="002774B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9</w:t>
            </w:r>
          </w:p>
        </w:tc>
        <w:tc>
          <w:tcPr>
            <w:tcW w:w="2963" w:type="dxa"/>
            <w:gridSpan w:val="5"/>
            <w:tcBorders>
              <w:top w:val="nil"/>
              <w:left w:val="nil"/>
              <w:bottom w:val="single" w:sz="4" w:space="0" w:color="auto"/>
              <w:right w:val="single" w:sz="4" w:space="0" w:color="auto"/>
            </w:tcBorders>
            <w:noWrap/>
            <w:vAlign w:val="bottom"/>
            <w:hideMark/>
          </w:tcPr>
          <w:p w14:paraId="46C50482" w14:textId="77777777" w:rsidR="002774B6" w:rsidRPr="002774B6" w:rsidRDefault="002774B6" w:rsidP="002774B6">
            <w:pPr>
              <w:spacing w:after="0" w:line="240" w:lineRule="auto"/>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PRODUCTS OF IRON AND STEEL</w:t>
            </w:r>
          </w:p>
        </w:tc>
        <w:tc>
          <w:tcPr>
            <w:tcW w:w="1148" w:type="dxa"/>
            <w:gridSpan w:val="2"/>
            <w:tcBorders>
              <w:top w:val="nil"/>
              <w:left w:val="nil"/>
              <w:bottom w:val="single" w:sz="4" w:space="0" w:color="auto"/>
              <w:right w:val="single" w:sz="4" w:space="0" w:color="auto"/>
            </w:tcBorders>
            <w:noWrap/>
            <w:vAlign w:val="center"/>
            <w:hideMark/>
          </w:tcPr>
          <w:p w14:paraId="0F4ABF54"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15.29</w:t>
            </w:r>
          </w:p>
        </w:tc>
        <w:tc>
          <w:tcPr>
            <w:tcW w:w="904" w:type="dxa"/>
            <w:gridSpan w:val="2"/>
            <w:tcBorders>
              <w:top w:val="nil"/>
              <w:left w:val="nil"/>
              <w:bottom w:val="single" w:sz="4" w:space="0" w:color="auto"/>
              <w:right w:val="single" w:sz="4" w:space="0" w:color="auto"/>
            </w:tcBorders>
            <w:noWrap/>
            <w:vAlign w:val="center"/>
            <w:hideMark/>
          </w:tcPr>
          <w:p w14:paraId="419AB3A9"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17.89</w:t>
            </w:r>
          </w:p>
        </w:tc>
        <w:tc>
          <w:tcPr>
            <w:tcW w:w="936" w:type="dxa"/>
            <w:gridSpan w:val="3"/>
            <w:tcBorders>
              <w:top w:val="nil"/>
              <w:left w:val="nil"/>
              <w:bottom w:val="single" w:sz="4" w:space="0" w:color="auto"/>
              <w:right w:val="single" w:sz="4" w:space="0" w:color="auto"/>
            </w:tcBorders>
            <w:noWrap/>
            <w:vAlign w:val="center"/>
            <w:hideMark/>
          </w:tcPr>
          <w:p w14:paraId="66EB326F"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43.22</w:t>
            </w:r>
          </w:p>
        </w:tc>
        <w:tc>
          <w:tcPr>
            <w:tcW w:w="846" w:type="dxa"/>
            <w:gridSpan w:val="2"/>
            <w:tcBorders>
              <w:top w:val="nil"/>
              <w:left w:val="nil"/>
              <w:bottom w:val="single" w:sz="4" w:space="0" w:color="auto"/>
              <w:right w:val="single" w:sz="4" w:space="0" w:color="auto"/>
            </w:tcBorders>
            <w:noWrap/>
            <w:vAlign w:val="center"/>
            <w:hideMark/>
          </w:tcPr>
          <w:p w14:paraId="67FAB692"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25.17</w:t>
            </w:r>
          </w:p>
        </w:tc>
        <w:tc>
          <w:tcPr>
            <w:tcW w:w="845" w:type="dxa"/>
            <w:gridSpan w:val="2"/>
            <w:tcBorders>
              <w:top w:val="nil"/>
              <w:left w:val="nil"/>
              <w:bottom w:val="single" w:sz="4" w:space="0" w:color="auto"/>
              <w:right w:val="single" w:sz="4" w:space="0" w:color="auto"/>
            </w:tcBorders>
            <w:noWrap/>
            <w:vAlign w:val="center"/>
            <w:hideMark/>
          </w:tcPr>
          <w:p w14:paraId="183AEE9C"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15.26</w:t>
            </w:r>
          </w:p>
        </w:tc>
        <w:tc>
          <w:tcPr>
            <w:tcW w:w="871" w:type="dxa"/>
            <w:gridSpan w:val="4"/>
            <w:tcBorders>
              <w:top w:val="nil"/>
              <w:left w:val="nil"/>
              <w:bottom w:val="single" w:sz="4" w:space="0" w:color="auto"/>
              <w:right w:val="single" w:sz="4" w:space="0" w:color="auto"/>
            </w:tcBorders>
            <w:noWrap/>
            <w:vAlign w:val="center"/>
            <w:hideMark/>
          </w:tcPr>
          <w:p w14:paraId="27E09BE8"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17.00</w:t>
            </w:r>
          </w:p>
        </w:tc>
        <w:tc>
          <w:tcPr>
            <w:tcW w:w="828" w:type="dxa"/>
            <w:gridSpan w:val="2"/>
            <w:tcBorders>
              <w:top w:val="nil"/>
              <w:left w:val="nil"/>
              <w:bottom w:val="single" w:sz="4" w:space="0" w:color="auto"/>
              <w:right w:val="single" w:sz="4" w:space="0" w:color="auto"/>
            </w:tcBorders>
            <w:noWrap/>
            <w:vAlign w:val="center"/>
            <w:hideMark/>
          </w:tcPr>
          <w:p w14:paraId="6EC9E6D3"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141.59</w:t>
            </w:r>
          </w:p>
        </w:tc>
        <w:tc>
          <w:tcPr>
            <w:tcW w:w="851" w:type="dxa"/>
            <w:gridSpan w:val="2"/>
            <w:tcBorders>
              <w:top w:val="nil"/>
              <w:left w:val="nil"/>
              <w:bottom w:val="single" w:sz="4" w:space="0" w:color="auto"/>
              <w:right w:val="single" w:sz="4" w:space="0" w:color="auto"/>
            </w:tcBorders>
            <w:noWrap/>
            <w:vAlign w:val="center"/>
            <w:hideMark/>
          </w:tcPr>
          <w:p w14:paraId="52A91ACC"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-41.76</w:t>
            </w:r>
          </w:p>
        </w:tc>
        <w:tc>
          <w:tcPr>
            <w:tcW w:w="850" w:type="dxa"/>
            <w:gridSpan w:val="3"/>
            <w:tcBorders>
              <w:top w:val="nil"/>
              <w:left w:val="nil"/>
              <w:bottom w:val="single" w:sz="4" w:space="0" w:color="auto"/>
              <w:right w:val="single" w:sz="4" w:space="0" w:color="auto"/>
            </w:tcBorders>
            <w:noWrap/>
            <w:vAlign w:val="center"/>
            <w:hideMark/>
          </w:tcPr>
          <w:p w14:paraId="3C75DE8C"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-39.38</w:t>
            </w:r>
          </w:p>
        </w:tc>
      </w:tr>
      <w:tr w:rsidR="002774B6" w:rsidRPr="002774B6" w14:paraId="12E17107" w14:textId="77777777" w:rsidTr="005C2FC6">
        <w:trPr>
          <w:gridAfter w:val="1"/>
          <w:wAfter w:w="170" w:type="dxa"/>
          <w:trHeight w:val="255"/>
        </w:trPr>
        <w:tc>
          <w:tcPr>
            <w:tcW w:w="582" w:type="dxa"/>
            <w:gridSpan w:val="3"/>
            <w:tcBorders>
              <w:top w:val="nil"/>
              <w:left w:val="single" w:sz="4" w:space="0" w:color="auto"/>
              <w:bottom w:val="single" w:sz="4" w:space="0" w:color="auto"/>
              <w:right w:val="single" w:sz="4" w:space="0" w:color="auto"/>
            </w:tcBorders>
            <w:noWrap/>
            <w:vAlign w:val="bottom"/>
            <w:hideMark/>
          </w:tcPr>
          <w:p w14:paraId="1CBC86CB" w14:textId="77777777" w:rsidR="002774B6" w:rsidRPr="002774B6" w:rsidRDefault="002774B6" w:rsidP="002774B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 </w:t>
            </w:r>
          </w:p>
        </w:tc>
        <w:tc>
          <w:tcPr>
            <w:tcW w:w="2963" w:type="dxa"/>
            <w:gridSpan w:val="5"/>
            <w:tcBorders>
              <w:top w:val="nil"/>
              <w:left w:val="nil"/>
              <w:bottom w:val="single" w:sz="4" w:space="0" w:color="auto"/>
              <w:right w:val="single" w:sz="4" w:space="0" w:color="auto"/>
            </w:tcBorders>
            <w:noWrap/>
            <w:vAlign w:val="center"/>
            <w:hideMark/>
          </w:tcPr>
          <w:p w14:paraId="078BEAF9" w14:textId="77777777" w:rsidR="002774B6" w:rsidRPr="002774B6" w:rsidRDefault="002774B6" w:rsidP="002774B6">
            <w:pPr>
              <w:spacing w:after="0" w:line="240" w:lineRule="auto"/>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Share in total export</w:t>
            </w:r>
          </w:p>
        </w:tc>
        <w:tc>
          <w:tcPr>
            <w:tcW w:w="1148" w:type="dxa"/>
            <w:gridSpan w:val="2"/>
            <w:tcBorders>
              <w:top w:val="nil"/>
              <w:left w:val="nil"/>
              <w:bottom w:val="single" w:sz="4" w:space="0" w:color="auto"/>
              <w:right w:val="single" w:sz="4" w:space="0" w:color="auto"/>
            </w:tcBorders>
            <w:noWrap/>
            <w:vAlign w:val="center"/>
            <w:hideMark/>
          </w:tcPr>
          <w:p w14:paraId="1DC2020A"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1.24</w:t>
            </w:r>
          </w:p>
        </w:tc>
        <w:tc>
          <w:tcPr>
            <w:tcW w:w="904" w:type="dxa"/>
            <w:gridSpan w:val="2"/>
            <w:tcBorders>
              <w:top w:val="nil"/>
              <w:left w:val="nil"/>
              <w:bottom w:val="single" w:sz="4" w:space="0" w:color="auto"/>
              <w:right w:val="single" w:sz="4" w:space="0" w:color="auto"/>
            </w:tcBorders>
            <w:noWrap/>
            <w:vAlign w:val="center"/>
            <w:hideMark/>
          </w:tcPr>
          <w:p w14:paraId="36D4FA39"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0.91</w:t>
            </w:r>
          </w:p>
        </w:tc>
        <w:tc>
          <w:tcPr>
            <w:tcW w:w="936" w:type="dxa"/>
            <w:gridSpan w:val="3"/>
            <w:tcBorders>
              <w:top w:val="nil"/>
              <w:left w:val="nil"/>
              <w:bottom w:val="single" w:sz="4" w:space="0" w:color="auto"/>
              <w:right w:val="single" w:sz="4" w:space="0" w:color="auto"/>
            </w:tcBorders>
            <w:noWrap/>
            <w:vAlign w:val="center"/>
            <w:hideMark/>
          </w:tcPr>
          <w:p w14:paraId="23902637"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1.72</w:t>
            </w:r>
          </w:p>
        </w:tc>
        <w:tc>
          <w:tcPr>
            <w:tcW w:w="846" w:type="dxa"/>
            <w:gridSpan w:val="2"/>
            <w:tcBorders>
              <w:top w:val="nil"/>
              <w:left w:val="nil"/>
              <w:bottom w:val="single" w:sz="4" w:space="0" w:color="auto"/>
              <w:right w:val="single" w:sz="4" w:space="0" w:color="auto"/>
            </w:tcBorders>
            <w:noWrap/>
            <w:vAlign w:val="center"/>
            <w:hideMark/>
          </w:tcPr>
          <w:p w14:paraId="6C16C6B9"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1.26</w:t>
            </w:r>
          </w:p>
        </w:tc>
        <w:tc>
          <w:tcPr>
            <w:tcW w:w="845" w:type="dxa"/>
            <w:gridSpan w:val="2"/>
            <w:tcBorders>
              <w:top w:val="nil"/>
              <w:left w:val="nil"/>
              <w:bottom w:val="single" w:sz="4" w:space="0" w:color="auto"/>
              <w:right w:val="single" w:sz="4" w:space="0" w:color="auto"/>
            </w:tcBorders>
            <w:noWrap/>
            <w:vAlign w:val="center"/>
            <w:hideMark/>
          </w:tcPr>
          <w:p w14:paraId="40D290A2"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1.15</w:t>
            </w:r>
          </w:p>
        </w:tc>
        <w:tc>
          <w:tcPr>
            <w:tcW w:w="871" w:type="dxa"/>
            <w:gridSpan w:val="4"/>
            <w:tcBorders>
              <w:top w:val="nil"/>
              <w:left w:val="nil"/>
              <w:bottom w:val="single" w:sz="4" w:space="0" w:color="auto"/>
              <w:right w:val="single" w:sz="4" w:space="0" w:color="auto"/>
            </w:tcBorders>
            <w:noWrap/>
            <w:vAlign w:val="center"/>
            <w:hideMark/>
          </w:tcPr>
          <w:p w14:paraId="69036034"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28" w:type="dxa"/>
            <w:gridSpan w:val="2"/>
            <w:tcBorders>
              <w:top w:val="nil"/>
              <w:left w:val="nil"/>
              <w:bottom w:val="single" w:sz="4" w:space="0" w:color="auto"/>
              <w:right w:val="single" w:sz="4" w:space="0" w:color="auto"/>
            </w:tcBorders>
            <w:noWrap/>
            <w:vAlign w:val="center"/>
            <w:hideMark/>
          </w:tcPr>
          <w:p w14:paraId="418EA46D"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51" w:type="dxa"/>
            <w:gridSpan w:val="2"/>
            <w:tcBorders>
              <w:top w:val="nil"/>
              <w:left w:val="nil"/>
              <w:bottom w:val="single" w:sz="4" w:space="0" w:color="auto"/>
              <w:right w:val="single" w:sz="4" w:space="0" w:color="auto"/>
            </w:tcBorders>
            <w:noWrap/>
            <w:vAlign w:val="center"/>
            <w:hideMark/>
          </w:tcPr>
          <w:p w14:paraId="1846B4E7"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50" w:type="dxa"/>
            <w:gridSpan w:val="3"/>
            <w:tcBorders>
              <w:top w:val="nil"/>
              <w:left w:val="nil"/>
              <w:bottom w:val="single" w:sz="4" w:space="0" w:color="auto"/>
              <w:right w:val="single" w:sz="4" w:space="0" w:color="auto"/>
            </w:tcBorders>
            <w:noWrap/>
            <w:vAlign w:val="center"/>
            <w:hideMark/>
          </w:tcPr>
          <w:p w14:paraId="6B96CA72"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r>
      <w:tr w:rsidR="002774B6" w:rsidRPr="002774B6" w14:paraId="1561594D" w14:textId="77777777" w:rsidTr="005C2FC6">
        <w:trPr>
          <w:gridAfter w:val="1"/>
          <w:wAfter w:w="170" w:type="dxa"/>
          <w:trHeight w:val="255"/>
        </w:trPr>
        <w:tc>
          <w:tcPr>
            <w:tcW w:w="582" w:type="dxa"/>
            <w:gridSpan w:val="3"/>
            <w:tcBorders>
              <w:top w:val="nil"/>
              <w:left w:val="single" w:sz="4" w:space="0" w:color="auto"/>
              <w:bottom w:val="single" w:sz="4" w:space="0" w:color="auto"/>
              <w:right w:val="single" w:sz="4" w:space="0" w:color="auto"/>
            </w:tcBorders>
            <w:noWrap/>
            <w:vAlign w:val="bottom"/>
            <w:hideMark/>
          </w:tcPr>
          <w:p w14:paraId="6DB9C586" w14:textId="77777777" w:rsidR="002774B6" w:rsidRPr="002774B6" w:rsidRDefault="002774B6" w:rsidP="002774B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10</w:t>
            </w:r>
          </w:p>
        </w:tc>
        <w:tc>
          <w:tcPr>
            <w:tcW w:w="2963" w:type="dxa"/>
            <w:gridSpan w:val="5"/>
            <w:tcBorders>
              <w:top w:val="nil"/>
              <w:left w:val="nil"/>
              <w:bottom w:val="single" w:sz="4" w:space="0" w:color="auto"/>
              <w:right w:val="single" w:sz="4" w:space="0" w:color="auto"/>
            </w:tcBorders>
            <w:noWrap/>
            <w:vAlign w:val="bottom"/>
            <w:hideMark/>
          </w:tcPr>
          <w:p w14:paraId="0ADB976D" w14:textId="77777777" w:rsidR="002774B6" w:rsidRPr="002774B6" w:rsidRDefault="002774B6" w:rsidP="002774B6">
            <w:pPr>
              <w:spacing w:after="0" w:line="240" w:lineRule="auto"/>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INORGANIC CHEMICALS</w:t>
            </w:r>
          </w:p>
        </w:tc>
        <w:tc>
          <w:tcPr>
            <w:tcW w:w="1148" w:type="dxa"/>
            <w:gridSpan w:val="2"/>
            <w:tcBorders>
              <w:top w:val="nil"/>
              <w:left w:val="nil"/>
              <w:bottom w:val="single" w:sz="4" w:space="0" w:color="auto"/>
              <w:right w:val="single" w:sz="4" w:space="0" w:color="auto"/>
            </w:tcBorders>
            <w:noWrap/>
            <w:vAlign w:val="center"/>
            <w:hideMark/>
          </w:tcPr>
          <w:p w14:paraId="254CD9E3"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3.34</w:t>
            </w:r>
          </w:p>
        </w:tc>
        <w:tc>
          <w:tcPr>
            <w:tcW w:w="904" w:type="dxa"/>
            <w:gridSpan w:val="2"/>
            <w:tcBorders>
              <w:top w:val="nil"/>
              <w:left w:val="nil"/>
              <w:bottom w:val="single" w:sz="4" w:space="0" w:color="auto"/>
              <w:right w:val="single" w:sz="4" w:space="0" w:color="auto"/>
            </w:tcBorders>
            <w:noWrap/>
            <w:vAlign w:val="center"/>
            <w:hideMark/>
          </w:tcPr>
          <w:p w14:paraId="104F902A"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5.32</w:t>
            </w:r>
          </w:p>
        </w:tc>
        <w:tc>
          <w:tcPr>
            <w:tcW w:w="936" w:type="dxa"/>
            <w:gridSpan w:val="3"/>
            <w:tcBorders>
              <w:top w:val="nil"/>
              <w:left w:val="nil"/>
              <w:bottom w:val="single" w:sz="4" w:space="0" w:color="auto"/>
              <w:right w:val="single" w:sz="4" w:space="0" w:color="auto"/>
            </w:tcBorders>
            <w:noWrap/>
            <w:vAlign w:val="center"/>
            <w:hideMark/>
          </w:tcPr>
          <w:p w14:paraId="575A65A9"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9.42</w:t>
            </w:r>
          </w:p>
        </w:tc>
        <w:tc>
          <w:tcPr>
            <w:tcW w:w="846" w:type="dxa"/>
            <w:gridSpan w:val="2"/>
            <w:tcBorders>
              <w:top w:val="nil"/>
              <w:left w:val="nil"/>
              <w:bottom w:val="single" w:sz="4" w:space="0" w:color="auto"/>
              <w:right w:val="single" w:sz="4" w:space="0" w:color="auto"/>
            </w:tcBorders>
            <w:noWrap/>
            <w:vAlign w:val="center"/>
            <w:hideMark/>
          </w:tcPr>
          <w:p w14:paraId="41FAEC65"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12.32</w:t>
            </w:r>
          </w:p>
        </w:tc>
        <w:tc>
          <w:tcPr>
            <w:tcW w:w="845" w:type="dxa"/>
            <w:gridSpan w:val="2"/>
            <w:tcBorders>
              <w:top w:val="nil"/>
              <w:left w:val="nil"/>
              <w:bottom w:val="single" w:sz="4" w:space="0" w:color="auto"/>
              <w:right w:val="single" w:sz="4" w:space="0" w:color="auto"/>
            </w:tcBorders>
            <w:noWrap/>
            <w:vAlign w:val="center"/>
            <w:hideMark/>
          </w:tcPr>
          <w:p w14:paraId="524BBD06"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14.88</w:t>
            </w:r>
          </w:p>
        </w:tc>
        <w:tc>
          <w:tcPr>
            <w:tcW w:w="871" w:type="dxa"/>
            <w:gridSpan w:val="4"/>
            <w:tcBorders>
              <w:top w:val="nil"/>
              <w:left w:val="nil"/>
              <w:bottom w:val="single" w:sz="4" w:space="0" w:color="auto"/>
              <w:right w:val="single" w:sz="4" w:space="0" w:color="auto"/>
            </w:tcBorders>
            <w:noWrap/>
            <w:vAlign w:val="center"/>
            <w:hideMark/>
          </w:tcPr>
          <w:p w14:paraId="3E9F8352"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59.28</w:t>
            </w:r>
          </w:p>
        </w:tc>
        <w:tc>
          <w:tcPr>
            <w:tcW w:w="828" w:type="dxa"/>
            <w:gridSpan w:val="2"/>
            <w:tcBorders>
              <w:top w:val="nil"/>
              <w:left w:val="nil"/>
              <w:bottom w:val="single" w:sz="4" w:space="0" w:color="auto"/>
              <w:right w:val="single" w:sz="4" w:space="0" w:color="auto"/>
            </w:tcBorders>
            <w:noWrap/>
            <w:vAlign w:val="center"/>
            <w:hideMark/>
          </w:tcPr>
          <w:p w14:paraId="087DA919"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77.07</w:t>
            </w:r>
          </w:p>
        </w:tc>
        <w:tc>
          <w:tcPr>
            <w:tcW w:w="851" w:type="dxa"/>
            <w:gridSpan w:val="2"/>
            <w:tcBorders>
              <w:top w:val="nil"/>
              <w:left w:val="nil"/>
              <w:bottom w:val="single" w:sz="4" w:space="0" w:color="auto"/>
              <w:right w:val="single" w:sz="4" w:space="0" w:color="auto"/>
            </w:tcBorders>
            <w:noWrap/>
            <w:vAlign w:val="center"/>
            <w:hideMark/>
          </w:tcPr>
          <w:p w14:paraId="57CCE26C"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30.79</w:t>
            </w:r>
          </w:p>
        </w:tc>
        <w:tc>
          <w:tcPr>
            <w:tcW w:w="850" w:type="dxa"/>
            <w:gridSpan w:val="3"/>
            <w:tcBorders>
              <w:top w:val="nil"/>
              <w:left w:val="nil"/>
              <w:bottom w:val="single" w:sz="4" w:space="0" w:color="auto"/>
              <w:right w:val="single" w:sz="4" w:space="0" w:color="auto"/>
            </w:tcBorders>
            <w:noWrap/>
            <w:vAlign w:val="center"/>
            <w:hideMark/>
          </w:tcPr>
          <w:p w14:paraId="6A1727DE"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20.81</w:t>
            </w:r>
          </w:p>
        </w:tc>
      </w:tr>
      <w:tr w:rsidR="002774B6" w:rsidRPr="002774B6" w14:paraId="25274360" w14:textId="77777777" w:rsidTr="005C2FC6">
        <w:trPr>
          <w:gridAfter w:val="1"/>
          <w:wAfter w:w="170" w:type="dxa"/>
          <w:trHeight w:val="255"/>
        </w:trPr>
        <w:tc>
          <w:tcPr>
            <w:tcW w:w="582" w:type="dxa"/>
            <w:gridSpan w:val="3"/>
            <w:tcBorders>
              <w:top w:val="nil"/>
              <w:left w:val="single" w:sz="4" w:space="0" w:color="auto"/>
              <w:bottom w:val="single" w:sz="4" w:space="0" w:color="auto"/>
              <w:right w:val="single" w:sz="4" w:space="0" w:color="auto"/>
            </w:tcBorders>
            <w:noWrap/>
            <w:vAlign w:val="bottom"/>
            <w:hideMark/>
          </w:tcPr>
          <w:p w14:paraId="52AB96CB" w14:textId="77777777" w:rsidR="002774B6" w:rsidRPr="002774B6" w:rsidRDefault="002774B6" w:rsidP="002774B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 </w:t>
            </w:r>
          </w:p>
        </w:tc>
        <w:tc>
          <w:tcPr>
            <w:tcW w:w="2963" w:type="dxa"/>
            <w:gridSpan w:val="5"/>
            <w:tcBorders>
              <w:top w:val="nil"/>
              <w:left w:val="nil"/>
              <w:bottom w:val="single" w:sz="4" w:space="0" w:color="auto"/>
              <w:right w:val="single" w:sz="4" w:space="0" w:color="auto"/>
            </w:tcBorders>
            <w:noWrap/>
            <w:vAlign w:val="center"/>
            <w:hideMark/>
          </w:tcPr>
          <w:p w14:paraId="1BC4CFF3" w14:textId="77777777" w:rsidR="002774B6" w:rsidRPr="002774B6" w:rsidRDefault="002774B6" w:rsidP="002774B6">
            <w:pPr>
              <w:spacing w:after="0" w:line="240" w:lineRule="auto"/>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Share in total export</w:t>
            </w:r>
          </w:p>
        </w:tc>
        <w:tc>
          <w:tcPr>
            <w:tcW w:w="1148" w:type="dxa"/>
            <w:gridSpan w:val="2"/>
            <w:tcBorders>
              <w:top w:val="nil"/>
              <w:left w:val="nil"/>
              <w:bottom w:val="single" w:sz="4" w:space="0" w:color="auto"/>
              <w:right w:val="single" w:sz="4" w:space="0" w:color="auto"/>
            </w:tcBorders>
            <w:noWrap/>
            <w:vAlign w:val="center"/>
            <w:hideMark/>
          </w:tcPr>
          <w:p w14:paraId="686A6DD3"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0.27</w:t>
            </w:r>
          </w:p>
        </w:tc>
        <w:tc>
          <w:tcPr>
            <w:tcW w:w="904" w:type="dxa"/>
            <w:gridSpan w:val="2"/>
            <w:tcBorders>
              <w:top w:val="nil"/>
              <w:left w:val="nil"/>
              <w:bottom w:val="single" w:sz="4" w:space="0" w:color="auto"/>
              <w:right w:val="single" w:sz="4" w:space="0" w:color="auto"/>
            </w:tcBorders>
            <w:noWrap/>
            <w:vAlign w:val="center"/>
            <w:hideMark/>
          </w:tcPr>
          <w:p w14:paraId="56041B9B"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0.27</w:t>
            </w:r>
          </w:p>
        </w:tc>
        <w:tc>
          <w:tcPr>
            <w:tcW w:w="936" w:type="dxa"/>
            <w:gridSpan w:val="3"/>
            <w:tcBorders>
              <w:top w:val="nil"/>
              <w:left w:val="nil"/>
              <w:bottom w:val="single" w:sz="4" w:space="0" w:color="auto"/>
              <w:right w:val="single" w:sz="4" w:space="0" w:color="auto"/>
            </w:tcBorders>
            <w:noWrap/>
            <w:vAlign w:val="center"/>
            <w:hideMark/>
          </w:tcPr>
          <w:p w14:paraId="76A3EEFC"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0.38</w:t>
            </w:r>
          </w:p>
        </w:tc>
        <w:tc>
          <w:tcPr>
            <w:tcW w:w="846" w:type="dxa"/>
            <w:gridSpan w:val="2"/>
            <w:tcBorders>
              <w:top w:val="nil"/>
              <w:left w:val="nil"/>
              <w:bottom w:val="single" w:sz="4" w:space="0" w:color="auto"/>
              <w:right w:val="single" w:sz="4" w:space="0" w:color="auto"/>
            </w:tcBorders>
            <w:noWrap/>
            <w:vAlign w:val="center"/>
            <w:hideMark/>
          </w:tcPr>
          <w:p w14:paraId="0A14260C"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0.62</w:t>
            </w:r>
          </w:p>
        </w:tc>
        <w:tc>
          <w:tcPr>
            <w:tcW w:w="845" w:type="dxa"/>
            <w:gridSpan w:val="2"/>
            <w:tcBorders>
              <w:top w:val="nil"/>
              <w:left w:val="nil"/>
              <w:bottom w:val="single" w:sz="4" w:space="0" w:color="auto"/>
              <w:right w:val="single" w:sz="4" w:space="0" w:color="auto"/>
            </w:tcBorders>
            <w:noWrap/>
            <w:vAlign w:val="center"/>
            <w:hideMark/>
          </w:tcPr>
          <w:p w14:paraId="42044E6F" w14:textId="77777777" w:rsidR="002774B6" w:rsidRPr="002774B6" w:rsidRDefault="002774B6" w:rsidP="005C2FC6">
            <w:pPr>
              <w:spacing w:after="0" w:line="240" w:lineRule="auto"/>
              <w:jc w:val="center"/>
              <w:rPr>
                <w:rFonts w:ascii="Times New Roman" w:eastAsia="Times New Roman" w:hAnsi="Times New Roman" w:cs="Times New Roman"/>
                <w:sz w:val="18"/>
                <w:szCs w:val="18"/>
                <w:lang w:eastAsia="en-IN" w:bidi="bn-IN"/>
              </w:rPr>
            </w:pPr>
            <w:r w:rsidRPr="002774B6">
              <w:rPr>
                <w:rFonts w:ascii="Times New Roman" w:eastAsia="Times New Roman" w:hAnsi="Times New Roman" w:cs="Times New Roman"/>
                <w:sz w:val="18"/>
                <w:szCs w:val="18"/>
                <w:lang w:eastAsia="en-IN" w:bidi="bn-IN"/>
              </w:rPr>
              <w:t>1.12</w:t>
            </w:r>
          </w:p>
        </w:tc>
        <w:tc>
          <w:tcPr>
            <w:tcW w:w="871" w:type="dxa"/>
            <w:gridSpan w:val="4"/>
            <w:tcBorders>
              <w:top w:val="nil"/>
              <w:left w:val="nil"/>
              <w:bottom w:val="single" w:sz="4" w:space="0" w:color="auto"/>
              <w:right w:val="single" w:sz="4" w:space="0" w:color="auto"/>
            </w:tcBorders>
            <w:noWrap/>
            <w:vAlign w:val="center"/>
            <w:hideMark/>
          </w:tcPr>
          <w:p w14:paraId="3A41DB61"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28" w:type="dxa"/>
            <w:gridSpan w:val="2"/>
            <w:tcBorders>
              <w:top w:val="nil"/>
              <w:left w:val="nil"/>
              <w:bottom w:val="single" w:sz="4" w:space="0" w:color="auto"/>
              <w:right w:val="single" w:sz="4" w:space="0" w:color="auto"/>
            </w:tcBorders>
            <w:noWrap/>
            <w:vAlign w:val="center"/>
            <w:hideMark/>
          </w:tcPr>
          <w:p w14:paraId="0B89F707"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51" w:type="dxa"/>
            <w:gridSpan w:val="2"/>
            <w:tcBorders>
              <w:top w:val="nil"/>
              <w:left w:val="nil"/>
              <w:bottom w:val="single" w:sz="4" w:space="0" w:color="auto"/>
              <w:right w:val="single" w:sz="4" w:space="0" w:color="auto"/>
            </w:tcBorders>
            <w:noWrap/>
            <w:vAlign w:val="center"/>
            <w:hideMark/>
          </w:tcPr>
          <w:p w14:paraId="46D67267"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c>
          <w:tcPr>
            <w:tcW w:w="850" w:type="dxa"/>
            <w:gridSpan w:val="3"/>
            <w:tcBorders>
              <w:top w:val="nil"/>
              <w:left w:val="nil"/>
              <w:bottom w:val="single" w:sz="4" w:space="0" w:color="auto"/>
              <w:right w:val="single" w:sz="4" w:space="0" w:color="auto"/>
            </w:tcBorders>
            <w:noWrap/>
            <w:vAlign w:val="center"/>
            <w:hideMark/>
          </w:tcPr>
          <w:p w14:paraId="2BEFAF5D"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p>
        </w:tc>
      </w:tr>
      <w:tr w:rsidR="00320DF4" w:rsidRPr="002774B6" w14:paraId="1F2D0B0E" w14:textId="77777777" w:rsidTr="005C2FC6">
        <w:trPr>
          <w:gridAfter w:val="1"/>
          <w:wAfter w:w="170" w:type="dxa"/>
          <w:trHeight w:val="255"/>
        </w:trPr>
        <w:tc>
          <w:tcPr>
            <w:tcW w:w="582" w:type="dxa"/>
            <w:gridSpan w:val="3"/>
            <w:tcBorders>
              <w:top w:val="nil"/>
              <w:left w:val="single" w:sz="4" w:space="0" w:color="auto"/>
              <w:bottom w:val="single" w:sz="4" w:space="0" w:color="auto"/>
              <w:right w:val="single" w:sz="4" w:space="0" w:color="auto"/>
            </w:tcBorders>
            <w:noWrap/>
            <w:vAlign w:val="bottom"/>
            <w:hideMark/>
          </w:tcPr>
          <w:p w14:paraId="6E508361" w14:textId="77777777" w:rsidR="002774B6" w:rsidRPr="002774B6" w:rsidRDefault="002774B6" w:rsidP="002774B6">
            <w:pPr>
              <w:spacing w:after="0" w:line="240" w:lineRule="auto"/>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 </w:t>
            </w:r>
          </w:p>
        </w:tc>
        <w:tc>
          <w:tcPr>
            <w:tcW w:w="2963" w:type="dxa"/>
            <w:gridSpan w:val="5"/>
            <w:tcBorders>
              <w:top w:val="nil"/>
              <w:left w:val="nil"/>
              <w:bottom w:val="single" w:sz="4" w:space="0" w:color="auto"/>
              <w:right w:val="single" w:sz="4" w:space="0" w:color="auto"/>
            </w:tcBorders>
            <w:noWrap/>
            <w:vAlign w:val="center"/>
            <w:hideMark/>
          </w:tcPr>
          <w:p w14:paraId="21CD0159" w14:textId="77777777" w:rsidR="002774B6" w:rsidRPr="002774B6" w:rsidRDefault="002774B6" w:rsidP="002774B6">
            <w:pPr>
              <w:spacing w:after="0" w:line="240" w:lineRule="auto"/>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Total export to MOZAMBIQUE</w:t>
            </w:r>
          </w:p>
        </w:tc>
        <w:tc>
          <w:tcPr>
            <w:tcW w:w="1148" w:type="dxa"/>
            <w:gridSpan w:val="2"/>
            <w:tcBorders>
              <w:top w:val="nil"/>
              <w:left w:val="nil"/>
              <w:bottom w:val="single" w:sz="4" w:space="0" w:color="auto"/>
              <w:right w:val="single" w:sz="4" w:space="0" w:color="auto"/>
            </w:tcBorders>
            <w:shd w:val="clear" w:color="000000" w:fill="FFFFFF"/>
            <w:noWrap/>
            <w:vAlign w:val="center"/>
            <w:hideMark/>
          </w:tcPr>
          <w:p w14:paraId="50B97664"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1231.34</w:t>
            </w:r>
          </w:p>
        </w:tc>
        <w:tc>
          <w:tcPr>
            <w:tcW w:w="904" w:type="dxa"/>
            <w:gridSpan w:val="2"/>
            <w:tcBorders>
              <w:top w:val="nil"/>
              <w:left w:val="nil"/>
              <w:bottom w:val="single" w:sz="4" w:space="0" w:color="auto"/>
              <w:right w:val="single" w:sz="4" w:space="0" w:color="auto"/>
            </w:tcBorders>
            <w:shd w:val="clear" w:color="000000" w:fill="FFFFFF"/>
            <w:noWrap/>
            <w:vAlign w:val="center"/>
            <w:hideMark/>
          </w:tcPr>
          <w:p w14:paraId="75FFC9F8"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1975.76</w:t>
            </w:r>
          </w:p>
        </w:tc>
        <w:tc>
          <w:tcPr>
            <w:tcW w:w="936" w:type="dxa"/>
            <w:gridSpan w:val="3"/>
            <w:tcBorders>
              <w:top w:val="nil"/>
              <w:left w:val="nil"/>
              <w:bottom w:val="single" w:sz="4" w:space="0" w:color="auto"/>
              <w:right w:val="single" w:sz="4" w:space="0" w:color="auto"/>
            </w:tcBorders>
            <w:shd w:val="clear" w:color="000000" w:fill="FFFFFF"/>
            <w:noWrap/>
            <w:vAlign w:val="center"/>
            <w:hideMark/>
          </w:tcPr>
          <w:p w14:paraId="70F421A8"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2506.47</w:t>
            </w:r>
          </w:p>
        </w:tc>
        <w:tc>
          <w:tcPr>
            <w:tcW w:w="846" w:type="dxa"/>
            <w:gridSpan w:val="2"/>
            <w:tcBorders>
              <w:top w:val="nil"/>
              <w:left w:val="nil"/>
              <w:bottom w:val="single" w:sz="4" w:space="0" w:color="auto"/>
              <w:right w:val="single" w:sz="4" w:space="0" w:color="auto"/>
            </w:tcBorders>
            <w:shd w:val="clear" w:color="000000" w:fill="FFFFFF"/>
            <w:noWrap/>
            <w:vAlign w:val="center"/>
            <w:hideMark/>
          </w:tcPr>
          <w:p w14:paraId="60BC1FE4"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1996.00</w:t>
            </w:r>
          </w:p>
        </w:tc>
        <w:tc>
          <w:tcPr>
            <w:tcW w:w="845" w:type="dxa"/>
            <w:gridSpan w:val="2"/>
            <w:tcBorders>
              <w:top w:val="nil"/>
              <w:left w:val="nil"/>
              <w:bottom w:val="single" w:sz="4" w:space="0" w:color="auto"/>
              <w:right w:val="single" w:sz="4" w:space="0" w:color="auto"/>
            </w:tcBorders>
            <w:noWrap/>
            <w:vAlign w:val="center"/>
            <w:hideMark/>
          </w:tcPr>
          <w:p w14:paraId="2C206364"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1323.39</w:t>
            </w:r>
          </w:p>
        </w:tc>
        <w:tc>
          <w:tcPr>
            <w:tcW w:w="871" w:type="dxa"/>
            <w:gridSpan w:val="4"/>
            <w:tcBorders>
              <w:top w:val="nil"/>
              <w:left w:val="nil"/>
              <w:bottom w:val="single" w:sz="4" w:space="0" w:color="auto"/>
              <w:right w:val="single" w:sz="4" w:space="0" w:color="auto"/>
            </w:tcBorders>
            <w:noWrap/>
            <w:vAlign w:val="center"/>
            <w:hideMark/>
          </w:tcPr>
          <w:p w14:paraId="7191CCF1"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60.46</w:t>
            </w:r>
          </w:p>
        </w:tc>
        <w:tc>
          <w:tcPr>
            <w:tcW w:w="828" w:type="dxa"/>
            <w:gridSpan w:val="2"/>
            <w:tcBorders>
              <w:top w:val="nil"/>
              <w:left w:val="nil"/>
              <w:bottom w:val="single" w:sz="4" w:space="0" w:color="auto"/>
              <w:right w:val="single" w:sz="4" w:space="0" w:color="auto"/>
            </w:tcBorders>
            <w:noWrap/>
            <w:vAlign w:val="center"/>
            <w:hideMark/>
          </w:tcPr>
          <w:p w14:paraId="01701CAF"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26.86</w:t>
            </w:r>
          </w:p>
        </w:tc>
        <w:tc>
          <w:tcPr>
            <w:tcW w:w="851" w:type="dxa"/>
            <w:gridSpan w:val="2"/>
            <w:tcBorders>
              <w:top w:val="nil"/>
              <w:left w:val="nil"/>
              <w:bottom w:val="single" w:sz="4" w:space="0" w:color="auto"/>
              <w:right w:val="single" w:sz="4" w:space="0" w:color="auto"/>
            </w:tcBorders>
            <w:noWrap/>
            <w:vAlign w:val="center"/>
            <w:hideMark/>
          </w:tcPr>
          <w:p w14:paraId="4509250A"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-20.37</w:t>
            </w:r>
          </w:p>
        </w:tc>
        <w:tc>
          <w:tcPr>
            <w:tcW w:w="850" w:type="dxa"/>
            <w:gridSpan w:val="3"/>
            <w:tcBorders>
              <w:top w:val="nil"/>
              <w:left w:val="nil"/>
              <w:bottom w:val="single" w:sz="4" w:space="0" w:color="auto"/>
              <w:right w:val="single" w:sz="4" w:space="0" w:color="auto"/>
            </w:tcBorders>
            <w:noWrap/>
            <w:vAlign w:val="center"/>
            <w:hideMark/>
          </w:tcPr>
          <w:p w14:paraId="0ADEC4B5" w14:textId="77777777" w:rsidR="002774B6" w:rsidRPr="002774B6" w:rsidRDefault="002774B6" w:rsidP="005C2FC6">
            <w:pPr>
              <w:spacing w:after="0" w:line="240" w:lineRule="auto"/>
              <w:jc w:val="center"/>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-33.70</w:t>
            </w:r>
          </w:p>
        </w:tc>
      </w:tr>
      <w:tr w:rsidR="002774B6" w:rsidRPr="002774B6" w14:paraId="1291E1A0" w14:textId="77777777" w:rsidTr="00320DF4">
        <w:trPr>
          <w:gridAfter w:val="1"/>
          <w:wAfter w:w="170" w:type="dxa"/>
          <w:trHeight w:val="70"/>
        </w:trPr>
        <w:tc>
          <w:tcPr>
            <w:tcW w:w="11624" w:type="dxa"/>
            <w:gridSpan w:val="30"/>
            <w:tcBorders>
              <w:top w:val="single" w:sz="4" w:space="0" w:color="auto"/>
              <w:left w:val="nil"/>
              <w:bottom w:val="nil"/>
              <w:right w:val="nil"/>
            </w:tcBorders>
            <w:noWrap/>
            <w:vAlign w:val="bottom"/>
            <w:hideMark/>
          </w:tcPr>
          <w:p w14:paraId="1E0DCD83" w14:textId="46628DD8" w:rsidR="002774B6" w:rsidRPr="002774B6" w:rsidRDefault="002774B6" w:rsidP="002774B6">
            <w:pPr>
              <w:spacing w:after="0" w:line="240" w:lineRule="auto"/>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 xml:space="preserve">NOTE:  </w:t>
            </w:r>
            <w:r w:rsidR="009209DB">
              <w:rPr>
                <w:rFonts w:ascii="Times New Roman" w:eastAsia="Times New Roman" w:hAnsi="Times New Roman" w:cs="Times New Roman"/>
                <w:b/>
                <w:bCs/>
                <w:sz w:val="18"/>
                <w:szCs w:val="18"/>
                <w:lang w:eastAsia="en-IN" w:bidi="bn-IN"/>
              </w:rPr>
              <w:t xml:space="preserve">      </w:t>
            </w:r>
            <w:r w:rsidRPr="002774B6">
              <w:rPr>
                <w:rFonts w:ascii="Times New Roman" w:eastAsia="Times New Roman" w:hAnsi="Times New Roman" w:cs="Times New Roman"/>
                <w:b/>
                <w:bCs/>
                <w:sz w:val="18"/>
                <w:szCs w:val="18"/>
                <w:lang w:eastAsia="en-IN" w:bidi="bn-IN"/>
              </w:rPr>
              <w:t>Figures relate to each Financial Year (April to March)</w:t>
            </w:r>
          </w:p>
        </w:tc>
      </w:tr>
      <w:tr w:rsidR="002774B6" w:rsidRPr="002774B6" w14:paraId="10EADAB0" w14:textId="77777777" w:rsidTr="00320DF4">
        <w:trPr>
          <w:gridAfter w:val="1"/>
          <w:wAfter w:w="170" w:type="dxa"/>
          <w:trHeight w:val="80"/>
        </w:trPr>
        <w:tc>
          <w:tcPr>
            <w:tcW w:w="11624" w:type="dxa"/>
            <w:gridSpan w:val="30"/>
            <w:tcBorders>
              <w:top w:val="nil"/>
              <w:left w:val="nil"/>
              <w:bottom w:val="nil"/>
              <w:right w:val="nil"/>
            </w:tcBorders>
            <w:noWrap/>
            <w:vAlign w:val="bottom"/>
            <w:hideMark/>
          </w:tcPr>
          <w:p w14:paraId="01897219" w14:textId="0C0C17D0" w:rsidR="002774B6" w:rsidRPr="002774B6" w:rsidRDefault="002774B6" w:rsidP="002774B6">
            <w:pPr>
              <w:spacing w:after="0" w:line="240" w:lineRule="auto"/>
              <w:rPr>
                <w:rFonts w:ascii="Times New Roman" w:eastAsia="Times New Roman" w:hAnsi="Times New Roman" w:cs="Times New Roman"/>
                <w:b/>
                <w:bCs/>
                <w:sz w:val="18"/>
                <w:szCs w:val="18"/>
                <w:lang w:eastAsia="en-IN" w:bidi="bn-IN"/>
              </w:rPr>
            </w:pPr>
            <w:r w:rsidRPr="002774B6">
              <w:rPr>
                <w:rFonts w:ascii="Times New Roman" w:eastAsia="Times New Roman" w:hAnsi="Times New Roman" w:cs="Times New Roman"/>
                <w:b/>
                <w:bCs/>
                <w:sz w:val="18"/>
                <w:szCs w:val="18"/>
                <w:lang w:eastAsia="en-IN" w:bidi="bn-IN"/>
              </w:rPr>
              <w:t>SOURCE:  DGCI&amp;S, M/o C&amp;I</w:t>
            </w:r>
          </w:p>
        </w:tc>
      </w:tr>
    </w:tbl>
    <w:p w14:paraId="1CD44EDC" w14:textId="77777777" w:rsidR="00A11859" w:rsidRDefault="00A11859" w:rsidP="002774B6">
      <w:pPr>
        <w:pStyle w:val="BodyText"/>
        <w:spacing w:after="120"/>
        <w:jc w:val="left"/>
        <w:rPr>
          <w:b/>
          <w:bCs/>
          <w:color w:val="31849B" w:themeColor="accent5" w:themeShade="BF"/>
          <w:szCs w:val="24"/>
          <w:lang w:eastAsia="en-IN" w:bidi="bn-IN"/>
        </w:rPr>
      </w:pPr>
    </w:p>
    <w:p w14:paraId="17E20064" w14:textId="77777777" w:rsidR="00A11859" w:rsidRDefault="00A11859" w:rsidP="004F75CF">
      <w:pPr>
        <w:pStyle w:val="BodyText"/>
        <w:spacing w:after="120"/>
        <w:jc w:val="center"/>
        <w:rPr>
          <w:b/>
          <w:bCs/>
          <w:color w:val="31849B" w:themeColor="accent5" w:themeShade="BF"/>
          <w:szCs w:val="24"/>
          <w:lang w:eastAsia="en-IN" w:bidi="bn-IN"/>
        </w:rPr>
      </w:pPr>
    </w:p>
    <w:p w14:paraId="5435A979" w14:textId="77777777" w:rsidR="00A11859" w:rsidRDefault="00A11859" w:rsidP="004F75CF">
      <w:pPr>
        <w:pStyle w:val="BodyText"/>
        <w:spacing w:after="120"/>
        <w:jc w:val="center"/>
        <w:rPr>
          <w:b/>
          <w:bCs/>
          <w:color w:val="31849B" w:themeColor="accent5" w:themeShade="BF"/>
          <w:szCs w:val="24"/>
          <w:lang w:eastAsia="en-IN" w:bidi="bn-IN"/>
        </w:rPr>
      </w:pPr>
    </w:p>
    <w:p w14:paraId="29B35E70" w14:textId="77777777" w:rsidR="00A11859" w:rsidRDefault="00A11859" w:rsidP="004F75CF">
      <w:pPr>
        <w:pStyle w:val="BodyText"/>
        <w:spacing w:after="120"/>
        <w:jc w:val="center"/>
        <w:rPr>
          <w:b/>
          <w:bCs/>
          <w:color w:val="31849B" w:themeColor="accent5" w:themeShade="BF"/>
          <w:szCs w:val="24"/>
          <w:lang w:eastAsia="en-IN" w:bidi="bn-IN"/>
        </w:rPr>
      </w:pPr>
    </w:p>
    <w:p w14:paraId="613AB7D1" w14:textId="77777777" w:rsidR="00A11859" w:rsidRDefault="00A11859" w:rsidP="004F75CF">
      <w:pPr>
        <w:pStyle w:val="BodyText"/>
        <w:spacing w:after="120"/>
        <w:jc w:val="center"/>
        <w:rPr>
          <w:b/>
          <w:bCs/>
          <w:color w:val="31849B" w:themeColor="accent5" w:themeShade="BF"/>
          <w:szCs w:val="24"/>
          <w:lang w:eastAsia="en-IN" w:bidi="bn-IN"/>
        </w:rPr>
      </w:pPr>
    </w:p>
    <w:p w14:paraId="24AAB18E" w14:textId="77777777" w:rsidR="00A11859" w:rsidRDefault="00A11859" w:rsidP="004F75CF">
      <w:pPr>
        <w:pStyle w:val="BodyText"/>
        <w:spacing w:after="120"/>
        <w:jc w:val="center"/>
        <w:rPr>
          <w:b/>
          <w:bCs/>
          <w:color w:val="31849B" w:themeColor="accent5" w:themeShade="BF"/>
          <w:szCs w:val="24"/>
          <w:lang w:eastAsia="en-IN" w:bidi="bn-IN"/>
        </w:rPr>
      </w:pPr>
    </w:p>
    <w:p w14:paraId="436A6C41" w14:textId="77777777" w:rsidR="00A11859" w:rsidRDefault="00A11859" w:rsidP="004F75CF">
      <w:pPr>
        <w:pStyle w:val="BodyText"/>
        <w:spacing w:after="120"/>
        <w:jc w:val="center"/>
        <w:rPr>
          <w:b/>
          <w:bCs/>
          <w:color w:val="31849B" w:themeColor="accent5" w:themeShade="BF"/>
          <w:szCs w:val="24"/>
          <w:lang w:eastAsia="en-IN" w:bidi="bn-IN"/>
        </w:rPr>
      </w:pPr>
    </w:p>
    <w:p w14:paraId="64C7C105" w14:textId="77777777" w:rsidR="00A11859" w:rsidRDefault="00A11859" w:rsidP="004F75CF">
      <w:pPr>
        <w:pStyle w:val="BodyText"/>
        <w:spacing w:after="120"/>
        <w:jc w:val="center"/>
        <w:rPr>
          <w:b/>
          <w:bCs/>
          <w:color w:val="31849B" w:themeColor="accent5" w:themeShade="BF"/>
          <w:szCs w:val="24"/>
          <w:lang w:eastAsia="en-IN" w:bidi="bn-IN"/>
        </w:rPr>
      </w:pPr>
    </w:p>
    <w:p w14:paraId="5E44BAA0" w14:textId="77777777" w:rsidR="00A11859" w:rsidRDefault="00A11859" w:rsidP="004F75CF">
      <w:pPr>
        <w:pStyle w:val="BodyText"/>
        <w:spacing w:after="120"/>
        <w:jc w:val="center"/>
        <w:rPr>
          <w:b/>
          <w:bCs/>
          <w:color w:val="31849B" w:themeColor="accent5" w:themeShade="BF"/>
          <w:szCs w:val="24"/>
          <w:lang w:eastAsia="en-IN" w:bidi="bn-IN"/>
        </w:rPr>
      </w:pPr>
    </w:p>
    <w:p w14:paraId="000AAE7C" w14:textId="77777777" w:rsidR="00D84A34" w:rsidRDefault="00D84A34" w:rsidP="004F75CF">
      <w:pPr>
        <w:pStyle w:val="BodyText"/>
        <w:spacing w:after="120"/>
        <w:jc w:val="center"/>
        <w:rPr>
          <w:b/>
          <w:bCs/>
          <w:color w:val="31849B" w:themeColor="accent5" w:themeShade="BF"/>
          <w:szCs w:val="24"/>
          <w:lang w:eastAsia="en-IN" w:bidi="bn-IN"/>
        </w:rPr>
      </w:pPr>
    </w:p>
    <w:p w14:paraId="7E426043" w14:textId="77777777" w:rsidR="003B608E" w:rsidRDefault="003B608E" w:rsidP="004F75CF">
      <w:pPr>
        <w:pStyle w:val="BodyText"/>
        <w:spacing w:after="120"/>
        <w:jc w:val="center"/>
        <w:rPr>
          <w:b/>
          <w:bCs/>
          <w:color w:val="31849B" w:themeColor="accent5" w:themeShade="BF"/>
          <w:szCs w:val="24"/>
          <w:lang w:eastAsia="en-IN" w:bidi="bn-IN"/>
        </w:rPr>
      </w:pPr>
    </w:p>
    <w:p w14:paraId="20A64C12" w14:textId="77777777" w:rsidR="003B608E" w:rsidRDefault="003B608E" w:rsidP="004F75CF">
      <w:pPr>
        <w:pStyle w:val="BodyText"/>
        <w:spacing w:after="120"/>
        <w:jc w:val="center"/>
        <w:rPr>
          <w:b/>
          <w:bCs/>
          <w:color w:val="31849B" w:themeColor="accent5" w:themeShade="BF"/>
          <w:szCs w:val="24"/>
          <w:lang w:eastAsia="en-IN" w:bidi="bn-IN"/>
        </w:rPr>
      </w:pPr>
    </w:p>
    <w:p w14:paraId="58262637" w14:textId="77777777" w:rsidR="003B608E" w:rsidRDefault="003B608E" w:rsidP="004F75CF">
      <w:pPr>
        <w:pStyle w:val="BodyText"/>
        <w:spacing w:after="120"/>
        <w:jc w:val="center"/>
        <w:rPr>
          <w:b/>
          <w:bCs/>
          <w:color w:val="31849B" w:themeColor="accent5" w:themeShade="BF"/>
          <w:szCs w:val="24"/>
          <w:lang w:eastAsia="en-IN" w:bidi="bn-IN"/>
        </w:rPr>
      </w:pPr>
    </w:p>
    <w:p w14:paraId="58513D7B" w14:textId="77777777" w:rsidR="00D84A34" w:rsidRDefault="00D84A34" w:rsidP="004F75CF">
      <w:pPr>
        <w:pStyle w:val="BodyText"/>
        <w:spacing w:after="120"/>
        <w:jc w:val="center"/>
        <w:rPr>
          <w:b/>
          <w:bCs/>
          <w:color w:val="31849B" w:themeColor="accent5" w:themeShade="BF"/>
          <w:szCs w:val="24"/>
          <w:lang w:eastAsia="en-IN" w:bidi="bn-IN"/>
        </w:rPr>
      </w:pPr>
    </w:p>
    <w:p w14:paraId="0DB875DA" w14:textId="77777777" w:rsidR="00A11859" w:rsidRDefault="00A11859" w:rsidP="004F75CF">
      <w:pPr>
        <w:pStyle w:val="BodyText"/>
        <w:spacing w:after="120"/>
        <w:jc w:val="center"/>
        <w:rPr>
          <w:b/>
          <w:bCs/>
          <w:color w:val="31849B" w:themeColor="accent5" w:themeShade="BF"/>
          <w:szCs w:val="24"/>
          <w:lang w:eastAsia="en-IN" w:bidi="bn-IN"/>
        </w:rPr>
      </w:pPr>
    </w:p>
    <w:p w14:paraId="788DEAFB" w14:textId="77777777" w:rsidR="000C4DF1" w:rsidRDefault="004F75CF" w:rsidP="004F75CF">
      <w:pPr>
        <w:pStyle w:val="BodyText"/>
        <w:spacing w:after="120"/>
        <w:jc w:val="center"/>
        <w:rPr>
          <w:szCs w:val="24"/>
        </w:rPr>
      </w:pPr>
      <w:r w:rsidRPr="00845875">
        <w:rPr>
          <w:b/>
          <w:bCs/>
          <w:color w:val="31849B" w:themeColor="accent5" w:themeShade="BF"/>
          <w:szCs w:val="24"/>
          <w:lang w:eastAsia="en-IN" w:bidi="bn-IN"/>
        </w:rPr>
        <w:lastRenderedPageBreak/>
        <w:t>TABLE -5</w:t>
      </w:r>
    </w:p>
    <w:tbl>
      <w:tblPr>
        <w:tblW w:w="11539" w:type="dxa"/>
        <w:tblInd w:w="-176" w:type="dxa"/>
        <w:tblLook w:val="04A0" w:firstRow="1" w:lastRow="0" w:firstColumn="1" w:lastColumn="0" w:noHBand="0" w:noVBand="1"/>
      </w:tblPr>
      <w:tblGrid>
        <w:gridCol w:w="540"/>
        <w:gridCol w:w="3005"/>
        <w:gridCol w:w="850"/>
        <w:gridCol w:w="851"/>
        <w:gridCol w:w="850"/>
        <w:gridCol w:w="851"/>
        <w:gridCol w:w="850"/>
        <w:gridCol w:w="992"/>
        <w:gridCol w:w="399"/>
        <w:gridCol w:w="594"/>
        <w:gridCol w:w="936"/>
        <w:gridCol w:w="821"/>
      </w:tblGrid>
      <w:tr w:rsidR="002C05B7" w:rsidRPr="002C05B7" w14:paraId="04379C7D" w14:textId="77777777" w:rsidTr="002C05B7">
        <w:trPr>
          <w:trHeight w:val="80"/>
        </w:trPr>
        <w:tc>
          <w:tcPr>
            <w:tcW w:w="11539" w:type="dxa"/>
            <w:gridSpan w:val="12"/>
            <w:tcBorders>
              <w:top w:val="nil"/>
              <w:left w:val="nil"/>
              <w:bottom w:val="nil"/>
              <w:right w:val="nil"/>
            </w:tcBorders>
            <w:noWrap/>
            <w:vAlign w:val="bottom"/>
            <w:hideMark/>
          </w:tcPr>
          <w:p w14:paraId="777CA7A0" w14:textId="77777777" w:rsidR="002C05B7" w:rsidRPr="002C05B7" w:rsidRDefault="002C05B7" w:rsidP="002C05B7">
            <w:pPr>
              <w:spacing w:after="0" w:line="240" w:lineRule="auto"/>
              <w:ind w:hanging="377"/>
              <w:rPr>
                <w:rFonts w:ascii="Times New Roman" w:eastAsia="Times New Roman" w:hAnsi="Times New Roman" w:cs="Times New Roman"/>
                <w:b/>
                <w:bCs/>
                <w:sz w:val="24"/>
                <w:szCs w:val="24"/>
                <w:lang w:eastAsia="en-IN" w:bidi="bn-IN"/>
              </w:rPr>
            </w:pPr>
            <w:bookmarkStart w:id="0" w:name="RANGE!A1:K31"/>
            <w:bookmarkEnd w:id="0"/>
            <w:r>
              <w:rPr>
                <w:rFonts w:ascii="Times New Roman" w:eastAsia="Times New Roman" w:hAnsi="Times New Roman" w:cs="Times New Roman"/>
                <w:b/>
                <w:bCs/>
                <w:sz w:val="24"/>
                <w:szCs w:val="24"/>
                <w:lang w:eastAsia="en-IN" w:bidi="bn-IN"/>
              </w:rPr>
              <w:t xml:space="preserve">                           </w:t>
            </w:r>
            <w:r w:rsidRPr="002C05B7">
              <w:rPr>
                <w:rFonts w:ascii="Times New Roman" w:eastAsia="Times New Roman" w:hAnsi="Times New Roman" w:cs="Times New Roman"/>
                <w:b/>
                <w:bCs/>
                <w:sz w:val="24"/>
                <w:szCs w:val="24"/>
                <w:lang w:eastAsia="en-IN" w:bidi="bn-IN"/>
              </w:rPr>
              <w:t>INDIA'S MAJOR ITEMS OF MERCHANDISE IMPORTS FROM MOZAMBIQUE</w:t>
            </w:r>
          </w:p>
        </w:tc>
      </w:tr>
      <w:tr w:rsidR="002C05B7" w:rsidRPr="002C05B7" w14:paraId="63CE7099" w14:textId="77777777" w:rsidTr="002C05B7">
        <w:trPr>
          <w:trHeight w:val="80"/>
        </w:trPr>
        <w:tc>
          <w:tcPr>
            <w:tcW w:w="11539" w:type="dxa"/>
            <w:gridSpan w:val="12"/>
            <w:tcBorders>
              <w:top w:val="nil"/>
              <w:left w:val="nil"/>
              <w:bottom w:val="nil"/>
              <w:right w:val="nil"/>
            </w:tcBorders>
            <w:noWrap/>
            <w:vAlign w:val="bottom"/>
            <w:hideMark/>
          </w:tcPr>
          <w:p w14:paraId="647B2885" w14:textId="77777777" w:rsidR="002C05B7" w:rsidRPr="002C05B7" w:rsidRDefault="002C05B7" w:rsidP="002C05B7">
            <w:pPr>
              <w:spacing w:after="0" w:line="240" w:lineRule="auto"/>
              <w:rPr>
                <w:rFonts w:ascii="Times New Roman" w:eastAsia="Times New Roman" w:hAnsi="Times New Roman" w:cs="Times New Roman"/>
                <w:b/>
                <w:bCs/>
                <w:sz w:val="24"/>
                <w:szCs w:val="24"/>
                <w:lang w:eastAsia="en-IN" w:bidi="bn-IN"/>
              </w:rPr>
            </w:pPr>
            <w:r w:rsidRPr="002C05B7">
              <w:rPr>
                <w:rFonts w:ascii="Times New Roman" w:eastAsia="Times New Roman" w:hAnsi="Times New Roman" w:cs="Times New Roman"/>
                <w:b/>
                <w:bCs/>
                <w:sz w:val="24"/>
                <w:szCs w:val="24"/>
                <w:lang w:eastAsia="en-IN" w:bidi="bn-IN"/>
              </w:rPr>
              <w:t xml:space="preserve">                                         2020-2021 TO 2024-2025 AND THEIR GROWTH RATES</w:t>
            </w:r>
          </w:p>
        </w:tc>
      </w:tr>
      <w:tr w:rsidR="002C05B7" w:rsidRPr="002C05B7" w14:paraId="1EF01EF1" w14:textId="77777777" w:rsidTr="00F4331E">
        <w:trPr>
          <w:trHeight w:val="80"/>
        </w:trPr>
        <w:tc>
          <w:tcPr>
            <w:tcW w:w="11539" w:type="dxa"/>
            <w:gridSpan w:val="12"/>
            <w:tcBorders>
              <w:top w:val="nil"/>
              <w:left w:val="nil"/>
              <w:bottom w:val="single" w:sz="4" w:space="0" w:color="auto"/>
              <w:right w:val="nil"/>
            </w:tcBorders>
            <w:noWrap/>
            <w:vAlign w:val="bottom"/>
            <w:hideMark/>
          </w:tcPr>
          <w:p w14:paraId="01C28836" w14:textId="77777777" w:rsidR="002C05B7" w:rsidRPr="002C05B7" w:rsidRDefault="002C05B7" w:rsidP="002C05B7">
            <w:pPr>
              <w:spacing w:after="0" w:line="240" w:lineRule="auto"/>
              <w:jc w:val="right"/>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(Value in USD Million)</w:t>
            </w:r>
          </w:p>
        </w:tc>
      </w:tr>
      <w:tr w:rsidR="002C05B7" w:rsidRPr="002C05B7" w14:paraId="08E72C89" w14:textId="77777777" w:rsidTr="007517D6">
        <w:trPr>
          <w:trHeight w:val="285"/>
        </w:trPr>
        <w:tc>
          <w:tcPr>
            <w:tcW w:w="540" w:type="dxa"/>
            <w:vMerge w:val="restart"/>
            <w:tcBorders>
              <w:top w:val="nil"/>
              <w:left w:val="single" w:sz="4" w:space="0" w:color="auto"/>
              <w:bottom w:val="nil"/>
              <w:right w:val="single" w:sz="4" w:space="0" w:color="auto"/>
            </w:tcBorders>
            <w:vAlign w:val="bottom"/>
            <w:hideMark/>
          </w:tcPr>
          <w:p w14:paraId="7CDFB42E"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Sl. No.</w:t>
            </w:r>
          </w:p>
        </w:tc>
        <w:tc>
          <w:tcPr>
            <w:tcW w:w="3005" w:type="dxa"/>
            <w:tcBorders>
              <w:top w:val="nil"/>
              <w:left w:val="nil"/>
              <w:bottom w:val="single" w:sz="4" w:space="0" w:color="auto"/>
              <w:right w:val="single" w:sz="4" w:space="0" w:color="auto"/>
            </w:tcBorders>
            <w:noWrap/>
            <w:vAlign w:val="bottom"/>
            <w:hideMark/>
          </w:tcPr>
          <w:p w14:paraId="2D103522"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Name of the Merchandise Commodities</w:t>
            </w:r>
          </w:p>
        </w:tc>
        <w:tc>
          <w:tcPr>
            <w:tcW w:w="4252" w:type="dxa"/>
            <w:gridSpan w:val="5"/>
            <w:tcBorders>
              <w:top w:val="single" w:sz="4" w:space="0" w:color="auto"/>
              <w:left w:val="nil"/>
              <w:bottom w:val="single" w:sz="4" w:space="0" w:color="auto"/>
              <w:right w:val="single" w:sz="4" w:space="0" w:color="000000"/>
            </w:tcBorders>
            <w:noWrap/>
            <w:vAlign w:val="center"/>
            <w:hideMark/>
          </w:tcPr>
          <w:p w14:paraId="61D32CE5" w14:textId="77777777" w:rsidR="002C05B7" w:rsidRPr="002C05B7" w:rsidRDefault="002C05B7" w:rsidP="007517D6">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Value of Imports</w:t>
            </w:r>
          </w:p>
        </w:tc>
        <w:tc>
          <w:tcPr>
            <w:tcW w:w="3742" w:type="dxa"/>
            <w:gridSpan w:val="5"/>
            <w:tcBorders>
              <w:top w:val="single" w:sz="4" w:space="0" w:color="auto"/>
              <w:left w:val="single" w:sz="4" w:space="0" w:color="auto"/>
              <w:bottom w:val="nil"/>
              <w:right w:val="single" w:sz="4" w:space="0" w:color="000000"/>
            </w:tcBorders>
            <w:noWrap/>
            <w:vAlign w:val="center"/>
            <w:hideMark/>
          </w:tcPr>
          <w:p w14:paraId="7D6E3B55" w14:textId="77777777" w:rsidR="002C05B7" w:rsidRPr="002C05B7" w:rsidRDefault="002C05B7" w:rsidP="007517D6">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Annual Growth Rates</w:t>
            </w:r>
          </w:p>
        </w:tc>
      </w:tr>
      <w:tr w:rsidR="002C05B7" w:rsidRPr="002C05B7" w14:paraId="4320B4A2" w14:textId="77777777" w:rsidTr="002C05B7">
        <w:trPr>
          <w:trHeight w:val="285"/>
        </w:trPr>
        <w:tc>
          <w:tcPr>
            <w:tcW w:w="540" w:type="dxa"/>
            <w:vMerge/>
            <w:tcBorders>
              <w:top w:val="nil"/>
              <w:left w:val="single" w:sz="4" w:space="0" w:color="auto"/>
              <w:bottom w:val="nil"/>
              <w:right w:val="single" w:sz="4" w:space="0" w:color="auto"/>
            </w:tcBorders>
            <w:vAlign w:val="center"/>
            <w:hideMark/>
          </w:tcPr>
          <w:p w14:paraId="27A4329A" w14:textId="77777777" w:rsidR="002C05B7" w:rsidRPr="002C05B7" w:rsidRDefault="002C05B7" w:rsidP="002C05B7">
            <w:pPr>
              <w:spacing w:after="0" w:line="240" w:lineRule="auto"/>
              <w:rPr>
                <w:rFonts w:ascii="Times New Roman" w:eastAsia="Times New Roman" w:hAnsi="Times New Roman" w:cs="Times New Roman"/>
                <w:b/>
                <w:bCs/>
                <w:sz w:val="18"/>
                <w:szCs w:val="18"/>
                <w:lang w:eastAsia="en-IN" w:bidi="bn-IN"/>
              </w:rPr>
            </w:pPr>
          </w:p>
        </w:tc>
        <w:tc>
          <w:tcPr>
            <w:tcW w:w="3005" w:type="dxa"/>
            <w:tcBorders>
              <w:top w:val="nil"/>
              <w:left w:val="nil"/>
              <w:bottom w:val="nil"/>
              <w:right w:val="single" w:sz="4" w:space="0" w:color="auto"/>
            </w:tcBorders>
            <w:noWrap/>
            <w:vAlign w:val="bottom"/>
            <w:hideMark/>
          </w:tcPr>
          <w:p w14:paraId="61360593" w14:textId="77777777" w:rsidR="002C05B7" w:rsidRPr="002C05B7" w:rsidRDefault="002C05B7" w:rsidP="002C05B7">
            <w:pPr>
              <w:spacing w:after="0" w:line="240" w:lineRule="auto"/>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 </w:t>
            </w:r>
          </w:p>
        </w:tc>
        <w:tc>
          <w:tcPr>
            <w:tcW w:w="850" w:type="dxa"/>
            <w:tcBorders>
              <w:top w:val="nil"/>
              <w:left w:val="nil"/>
              <w:bottom w:val="nil"/>
              <w:right w:val="single" w:sz="4" w:space="0" w:color="auto"/>
            </w:tcBorders>
            <w:noWrap/>
            <w:vAlign w:val="center"/>
            <w:hideMark/>
          </w:tcPr>
          <w:p w14:paraId="7080CB1D"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2020-21</w:t>
            </w:r>
          </w:p>
        </w:tc>
        <w:tc>
          <w:tcPr>
            <w:tcW w:w="851" w:type="dxa"/>
            <w:tcBorders>
              <w:top w:val="nil"/>
              <w:left w:val="nil"/>
              <w:bottom w:val="nil"/>
              <w:right w:val="single" w:sz="4" w:space="0" w:color="auto"/>
            </w:tcBorders>
            <w:noWrap/>
            <w:vAlign w:val="center"/>
            <w:hideMark/>
          </w:tcPr>
          <w:p w14:paraId="17FD1B43"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2021-22</w:t>
            </w:r>
          </w:p>
        </w:tc>
        <w:tc>
          <w:tcPr>
            <w:tcW w:w="850" w:type="dxa"/>
            <w:tcBorders>
              <w:top w:val="nil"/>
              <w:left w:val="nil"/>
              <w:bottom w:val="nil"/>
              <w:right w:val="single" w:sz="4" w:space="0" w:color="auto"/>
            </w:tcBorders>
            <w:noWrap/>
            <w:vAlign w:val="center"/>
            <w:hideMark/>
          </w:tcPr>
          <w:p w14:paraId="640B9967"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2022-23</w:t>
            </w:r>
          </w:p>
        </w:tc>
        <w:tc>
          <w:tcPr>
            <w:tcW w:w="851" w:type="dxa"/>
            <w:tcBorders>
              <w:top w:val="nil"/>
              <w:left w:val="nil"/>
              <w:bottom w:val="nil"/>
              <w:right w:val="single" w:sz="4" w:space="0" w:color="auto"/>
            </w:tcBorders>
            <w:noWrap/>
            <w:vAlign w:val="center"/>
            <w:hideMark/>
          </w:tcPr>
          <w:p w14:paraId="2C08E9DF"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2023-24</w:t>
            </w:r>
          </w:p>
        </w:tc>
        <w:tc>
          <w:tcPr>
            <w:tcW w:w="850" w:type="dxa"/>
            <w:tcBorders>
              <w:top w:val="nil"/>
              <w:left w:val="nil"/>
              <w:bottom w:val="nil"/>
              <w:right w:val="single" w:sz="4" w:space="0" w:color="auto"/>
            </w:tcBorders>
            <w:noWrap/>
            <w:vAlign w:val="center"/>
            <w:hideMark/>
          </w:tcPr>
          <w:p w14:paraId="6D00E79A"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2024-25</w:t>
            </w:r>
          </w:p>
        </w:tc>
        <w:tc>
          <w:tcPr>
            <w:tcW w:w="992" w:type="dxa"/>
            <w:tcBorders>
              <w:top w:val="single" w:sz="4" w:space="0" w:color="auto"/>
              <w:left w:val="nil"/>
              <w:bottom w:val="nil"/>
              <w:right w:val="single" w:sz="4" w:space="0" w:color="auto"/>
            </w:tcBorders>
            <w:noWrap/>
            <w:vAlign w:val="center"/>
            <w:hideMark/>
          </w:tcPr>
          <w:p w14:paraId="56C1E5BF"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21-22 over</w:t>
            </w:r>
          </w:p>
        </w:tc>
        <w:tc>
          <w:tcPr>
            <w:tcW w:w="993" w:type="dxa"/>
            <w:gridSpan w:val="2"/>
            <w:tcBorders>
              <w:top w:val="single" w:sz="4" w:space="0" w:color="auto"/>
              <w:left w:val="nil"/>
              <w:bottom w:val="nil"/>
              <w:right w:val="single" w:sz="4" w:space="0" w:color="auto"/>
            </w:tcBorders>
            <w:noWrap/>
            <w:vAlign w:val="center"/>
            <w:hideMark/>
          </w:tcPr>
          <w:p w14:paraId="6797B251"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22-23 over</w:t>
            </w:r>
          </w:p>
        </w:tc>
        <w:tc>
          <w:tcPr>
            <w:tcW w:w="936" w:type="dxa"/>
            <w:tcBorders>
              <w:top w:val="single" w:sz="4" w:space="0" w:color="auto"/>
              <w:left w:val="nil"/>
              <w:bottom w:val="nil"/>
              <w:right w:val="single" w:sz="4" w:space="0" w:color="auto"/>
            </w:tcBorders>
            <w:noWrap/>
            <w:vAlign w:val="center"/>
            <w:hideMark/>
          </w:tcPr>
          <w:p w14:paraId="41A0B6C6"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23-24 over</w:t>
            </w:r>
          </w:p>
        </w:tc>
        <w:tc>
          <w:tcPr>
            <w:tcW w:w="821" w:type="dxa"/>
            <w:tcBorders>
              <w:top w:val="single" w:sz="4" w:space="0" w:color="auto"/>
              <w:left w:val="nil"/>
              <w:bottom w:val="nil"/>
              <w:right w:val="single" w:sz="4" w:space="0" w:color="auto"/>
            </w:tcBorders>
            <w:noWrap/>
            <w:vAlign w:val="center"/>
            <w:hideMark/>
          </w:tcPr>
          <w:p w14:paraId="4D90B29B"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24-25 over</w:t>
            </w:r>
          </w:p>
        </w:tc>
      </w:tr>
      <w:tr w:rsidR="002C05B7" w:rsidRPr="002C05B7" w14:paraId="1B025640" w14:textId="77777777" w:rsidTr="002C05B7">
        <w:trPr>
          <w:trHeight w:val="285"/>
        </w:trPr>
        <w:tc>
          <w:tcPr>
            <w:tcW w:w="540" w:type="dxa"/>
            <w:tcBorders>
              <w:top w:val="nil"/>
              <w:left w:val="single" w:sz="4" w:space="0" w:color="auto"/>
              <w:bottom w:val="single" w:sz="4" w:space="0" w:color="auto"/>
              <w:right w:val="nil"/>
            </w:tcBorders>
            <w:noWrap/>
            <w:vAlign w:val="bottom"/>
            <w:hideMark/>
          </w:tcPr>
          <w:p w14:paraId="58BE79E6"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 </w:t>
            </w:r>
          </w:p>
        </w:tc>
        <w:tc>
          <w:tcPr>
            <w:tcW w:w="3005" w:type="dxa"/>
            <w:tcBorders>
              <w:top w:val="nil"/>
              <w:left w:val="single" w:sz="4" w:space="0" w:color="auto"/>
              <w:bottom w:val="single" w:sz="4" w:space="0" w:color="auto"/>
              <w:right w:val="single" w:sz="4" w:space="0" w:color="auto"/>
            </w:tcBorders>
            <w:noWrap/>
            <w:vAlign w:val="bottom"/>
            <w:hideMark/>
          </w:tcPr>
          <w:p w14:paraId="1E575E99" w14:textId="77777777" w:rsidR="002C05B7" w:rsidRPr="002C05B7" w:rsidRDefault="002C05B7" w:rsidP="002C05B7">
            <w:pPr>
              <w:spacing w:after="0" w:line="240" w:lineRule="auto"/>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 </w:t>
            </w:r>
          </w:p>
        </w:tc>
        <w:tc>
          <w:tcPr>
            <w:tcW w:w="850" w:type="dxa"/>
            <w:tcBorders>
              <w:top w:val="nil"/>
              <w:left w:val="nil"/>
              <w:bottom w:val="single" w:sz="4" w:space="0" w:color="auto"/>
              <w:right w:val="single" w:sz="4" w:space="0" w:color="auto"/>
            </w:tcBorders>
            <w:noWrap/>
            <w:vAlign w:val="center"/>
            <w:hideMark/>
          </w:tcPr>
          <w:p w14:paraId="18D4D898"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851" w:type="dxa"/>
            <w:tcBorders>
              <w:top w:val="nil"/>
              <w:left w:val="nil"/>
              <w:bottom w:val="single" w:sz="4" w:space="0" w:color="auto"/>
              <w:right w:val="single" w:sz="4" w:space="0" w:color="auto"/>
            </w:tcBorders>
            <w:noWrap/>
            <w:vAlign w:val="center"/>
            <w:hideMark/>
          </w:tcPr>
          <w:p w14:paraId="3885FDDC"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850" w:type="dxa"/>
            <w:tcBorders>
              <w:top w:val="nil"/>
              <w:left w:val="nil"/>
              <w:bottom w:val="single" w:sz="4" w:space="0" w:color="auto"/>
              <w:right w:val="single" w:sz="4" w:space="0" w:color="auto"/>
            </w:tcBorders>
            <w:noWrap/>
            <w:vAlign w:val="center"/>
            <w:hideMark/>
          </w:tcPr>
          <w:p w14:paraId="0768B512"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851" w:type="dxa"/>
            <w:tcBorders>
              <w:top w:val="nil"/>
              <w:left w:val="nil"/>
              <w:bottom w:val="single" w:sz="4" w:space="0" w:color="auto"/>
              <w:right w:val="single" w:sz="4" w:space="0" w:color="auto"/>
            </w:tcBorders>
            <w:noWrap/>
            <w:vAlign w:val="center"/>
            <w:hideMark/>
          </w:tcPr>
          <w:p w14:paraId="56F72657"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850" w:type="dxa"/>
            <w:tcBorders>
              <w:top w:val="nil"/>
              <w:left w:val="nil"/>
              <w:bottom w:val="single" w:sz="4" w:space="0" w:color="auto"/>
              <w:right w:val="single" w:sz="4" w:space="0" w:color="auto"/>
            </w:tcBorders>
            <w:noWrap/>
            <w:vAlign w:val="center"/>
            <w:hideMark/>
          </w:tcPr>
          <w:p w14:paraId="6286B74A"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992" w:type="dxa"/>
            <w:tcBorders>
              <w:top w:val="nil"/>
              <w:left w:val="nil"/>
              <w:bottom w:val="single" w:sz="4" w:space="0" w:color="auto"/>
              <w:right w:val="single" w:sz="4" w:space="0" w:color="auto"/>
            </w:tcBorders>
            <w:noWrap/>
            <w:vAlign w:val="center"/>
            <w:hideMark/>
          </w:tcPr>
          <w:p w14:paraId="653269FF"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2020-21</w:t>
            </w:r>
          </w:p>
        </w:tc>
        <w:tc>
          <w:tcPr>
            <w:tcW w:w="993" w:type="dxa"/>
            <w:gridSpan w:val="2"/>
            <w:tcBorders>
              <w:top w:val="nil"/>
              <w:left w:val="nil"/>
              <w:bottom w:val="single" w:sz="4" w:space="0" w:color="auto"/>
              <w:right w:val="single" w:sz="4" w:space="0" w:color="auto"/>
            </w:tcBorders>
            <w:noWrap/>
            <w:vAlign w:val="center"/>
            <w:hideMark/>
          </w:tcPr>
          <w:p w14:paraId="5A194CDA"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2021-22</w:t>
            </w:r>
          </w:p>
        </w:tc>
        <w:tc>
          <w:tcPr>
            <w:tcW w:w="936" w:type="dxa"/>
            <w:tcBorders>
              <w:top w:val="nil"/>
              <w:left w:val="nil"/>
              <w:bottom w:val="single" w:sz="4" w:space="0" w:color="auto"/>
              <w:right w:val="single" w:sz="4" w:space="0" w:color="auto"/>
            </w:tcBorders>
            <w:noWrap/>
            <w:vAlign w:val="center"/>
            <w:hideMark/>
          </w:tcPr>
          <w:p w14:paraId="17A632A5"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2022-23</w:t>
            </w:r>
          </w:p>
        </w:tc>
        <w:tc>
          <w:tcPr>
            <w:tcW w:w="821" w:type="dxa"/>
            <w:tcBorders>
              <w:top w:val="nil"/>
              <w:left w:val="nil"/>
              <w:bottom w:val="single" w:sz="4" w:space="0" w:color="auto"/>
              <w:right w:val="single" w:sz="4" w:space="0" w:color="auto"/>
            </w:tcBorders>
            <w:noWrap/>
            <w:vAlign w:val="center"/>
            <w:hideMark/>
          </w:tcPr>
          <w:p w14:paraId="5DF1A98C"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2023-24</w:t>
            </w:r>
          </w:p>
        </w:tc>
      </w:tr>
      <w:tr w:rsidR="002C05B7" w:rsidRPr="002C05B7" w14:paraId="344AA52F" w14:textId="77777777" w:rsidTr="002C05B7">
        <w:trPr>
          <w:trHeight w:val="285"/>
        </w:trPr>
        <w:tc>
          <w:tcPr>
            <w:tcW w:w="540" w:type="dxa"/>
            <w:tcBorders>
              <w:top w:val="nil"/>
              <w:left w:val="single" w:sz="4" w:space="0" w:color="auto"/>
              <w:bottom w:val="single" w:sz="4" w:space="0" w:color="auto"/>
              <w:right w:val="single" w:sz="4" w:space="0" w:color="auto"/>
            </w:tcBorders>
            <w:noWrap/>
            <w:vAlign w:val="bottom"/>
            <w:hideMark/>
          </w:tcPr>
          <w:p w14:paraId="43B3886D"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w:t>
            </w:r>
          </w:p>
        </w:tc>
        <w:tc>
          <w:tcPr>
            <w:tcW w:w="3005" w:type="dxa"/>
            <w:tcBorders>
              <w:top w:val="nil"/>
              <w:left w:val="nil"/>
              <w:bottom w:val="single" w:sz="4" w:space="0" w:color="auto"/>
              <w:right w:val="single" w:sz="4" w:space="0" w:color="auto"/>
            </w:tcBorders>
            <w:noWrap/>
            <w:vAlign w:val="bottom"/>
            <w:hideMark/>
          </w:tcPr>
          <w:p w14:paraId="598599C2" w14:textId="7A1B30A7" w:rsidR="002C05B7" w:rsidRPr="002C05B7" w:rsidRDefault="0052549C" w:rsidP="002C05B7">
            <w:pPr>
              <w:spacing w:after="0" w:line="240" w:lineRule="auto"/>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COAL, COKE</w:t>
            </w:r>
            <w:r w:rsidR="002C05B7" w:rsidRPr="002C05B7">
              <w:rPr>
                <w:rFonts w:ascii="Times New Roman" w:eastAsia="Times New Roman" w:hAnsi="Times New Roman" w:cs="Times New Roman"/>
                <w:b/>
                <w:bCs/>
                <w:sz w:val="18"/>
                <w:szCs w:val="18"/>
                <w:lang w:eastAsia="en-IN" w:bidi="bn-IN"/>
              </w:rPr>
              <w:t xml:space="preserve"> AND BRIQUITTES ETC</w:t>
            </w:r>
          </w:p>
        </w:tc>
        <w:tc>
          <w:tcPr>
            <w:tcW w:w="850" w:type="dxa"/>
            <w:tcBorders>
              <w:top w:val="nil"/>
              <w:left w:val="nil"/>
              <w:bottom w:val="single" w:sz="4" w:space="0" w:color="auto"/>
              <w:right w:val="single" w:sz="4" w:space="0" w:color="auto"/>
            </w:tcBorders>
            <w:noWrap/>
            <w:vAlign w:val="center"/>
            <w:hideMark/>
          </w:tcPr>
          <w:p w14:paraId="75689159"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316.34</w:t>
            </w:r>
          </w:p>
        </w:tc>
        <w:tc>
          <w:tcPr>
            <w:tcW w:w="851" w:type="dxa"/>
            <w:tcBorders>
              <w:top w:val="nil"/>
              <w:left w:val="nil"/>
              <w:bottom w:val="single" w:sz="4" w:space="0" w:color="auto"/>
              <w:right w:val="single" w:sz="4" w:space="0" w:color="auto"/>
            </w:tcBorders>
            <w:noWrap/>
            <w:vAlign w:val="center"/>
            <w:hideMark/>
          </w:tcPr>
          <w:p w14:paraId="479CF66C"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1011.05</w:t>
            </w:r>
          </w:p>
        </w:tc>
        <w:tc>
          <w:tcPr>
            <w:tcW w:w="850" w:type="dxa"/>
            <w:tcBorders>
              <w:top w:val="nil"/>
              <w:left w:val="nil"/>
              <w:bottom w:val="single" w:sz="4" w:space="0" w:color="auto"/>
              <w:right w:val="single" w:sz="4" w:space="0" w:color="auto"/>
            </w:tcBorders>
            <w:noWrap/>
            <w:vAlign w:val="center"/>
            <w:hideMark/>
          </w:tcPr>
          <w:p w14:paraId="6BA66712"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1797.20</w:t>
            </w:r>
          </w:p>
        </w:tc>
        <w:tc>
          <w:tcPr>
            <w:tcW w:w="851" w:type="dxa"/>
            <w:tcBorders>
              <w:top w:val="nil"/>
              <w:left w:val="nil"/>
              <w:bottom w:val="single" w:sz="4" w:space="0" w:color="auto"/>
              <w:right w:val="single" w:sz="4" w:space="0" w:color="auto"/>
            </w:tcBorders>
            <w:noWrap/>
            <w:vAlign w:val="center"/>
            <w:hideMark/>
          </w:tcPr>
          <w:p w14:paraId="69CD1592"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1370.33</w:t>
            </w:r>
          </w:p>
        </w:tc>
        <w:tc>
          <w:tcPr>
            <w:tcW w:w="850" w:type="dxa"/>
            <w:tcBorders>
              <w:top w:val="nil"/>
              <w:left w:val="nil"/>
              <w:bottom w:val="single" w:sz="4" w:space="0" w:color="auto"/>
              <w:right w:val="single" w:sz="4" w:space="0" w:color="auto"/>
            </w:tcBorders>
            <w:noWrap/>
            <w:vAlign w:val="center"/>
            <w:hideMark/>
          </w:tcPr>
          <w:p w14:paraId="7BC181F0"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1129.11</w:t>
            </w:r>
          </w:p>
        </w:tc>
        <w:tc>
          <w:tcPr>
            <w:tcW w:w="992" w:type="dxa"/>
            <w:tcBorders>
              <w:top w:val="nil"/>
              <w:left w:val="nil"/>
              <w:bottom w:val="single" w:sz="4" w:space="0" w:color="auto"/>
              <w:right w:val="single" w:sz="4" w:space="0" w:color="auto"/>
            </w:tcBorders>
            <w:noWrap/>
            <w:vAlign w:val="center"/>
            <w:hideMark/>
          </w:tcPr>
          <w:p w14:paraId="49A2D6B6"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219.61</w:t>
            </w:r>
          </w:p>
        </w:tc>
        <w:tc>
          <w:tcPr>
            <w:tcW w:w="993" w:type="dxa"/>
            <w:gridSpan w:val="2"/>
            <w:tcBorders>
              <w:top w:val="nil"/>
              <w:left w:val="nil"/>
              <w:bottom w:val="single" w:sz="4" w:space="0" w:color="auto"/>
              <w:right w:val="single" w:sz="4" w:space="0" w:color="auto"/>
            </w:tcBorders>
            <w:noWrap/>
            <w:vAlign w:val="center"/>
            <w:hideMark/>
          </w:tcPr>
          <w:p w14:paraId="0713EE25"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77.76</w:t>
            </w:r>
          </w:p>
        </w:tc>
        <w:tc>
          <w:tcPr>
            <w:tcW w:w="936" w:type="dxa"/>
            <w:tcBorders>
              <w:top w:val="nil"/>
              <w:left w:val="nil"/>
              <w:bottom w:val="single" w:sz="4" w:space="0" w:color="auto"/>
              <w:right w:val="single" w:sz="4" w:space="0" w:color="auto"/>
            </w:tcBorders>
            <w:noWrap/>
            <w:vAlign w:val="center"/>
            <w:hideMark/>
          </w:tcPr>
          <w:p w14:paraId="22A3B5BE"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-23.75</w:t>
            </w:r>
          </w:p>
        </w:tc>
        <w:tc>
          <w:tcPr>
            <w:tcW w:w="821" w:type="dxa"/>
            <w:tcBorders>
              <w:top w:val="nil"/>
              <w:left w:val="nil"/>
              <w:bottom w:val="single" w:sz="4" w:space="0" w:color="auto"/>
              <w:right w:val="single" w:sz="4" w:space="0" w:color="auto"/>
            </w:tcBorders>
            <w:noWrap/>
            <w:vAlign w:val="center"/>
            <w:hideMark/>
          </w:tcPr>
          <w:p w14:paraId="7D800B9E"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-17.60</w:t>
            </w:r>
          </w:p>
        </w:tc>
      </w:tr>
      <w:tr w:rsidR="002C05B7" w:rsidRPr="002C05B7" w14:paraId="008DB873" w14:textId="77777777" w:rsidTr="002C05B7">
        <w:trPr>
          <w:trHeight w:val="300"/>
        </w:trPr>
        <w:tc>
          <w:tcPr>
            <w:tcW w:w="540" w:type="dxa"/>
            <w:tcBorders>
              <w:top w:val="nil"/>
              <w:left w:val="single" w:sz="4" w:space="0" w:color="auto"/>
              <w:bottom w:val="single" w:sz="4" w:space="0" w:color="auto"/>
              <w:right w:val="single" w:sz="4" w:space="0" w:color="auto"/>
            </w:tcBorders>
            <w:noWrap/>
            <w:vAlign w:val="bottom"/>
            <w:hideMark/>
          </w:tcPr>
          <w:p w14:paraId="2EAFCE6C"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 </w:t>
            </w:r>
          </w:p>
        </w:tc>
        <w:tc>
          <w:tcPr>
            <w:tcW w:w="3005" w:type="dxa"/>
            <w:tcBorders>
              <w:top w:val="nil"/>
              <w:left w:val="nil"/>
              <w:bottom w:val="single" w:sz="4" w:space="0" w:color="auto"/>
              <w:right w:val="single" w:sz="4" w:space="0" w:color="auto"/>
            </w:tcBorders>
            <w:noWrap/>
            <w:vAlign w:val="bottom"/>
            <w:hideMark/>
          </w:tcPr>
          <w:p w14:paraId="298ED09D" w14:textId="77777777" w:rsidR="002C05B7" w:rsidRPr="002C05B7" w:rsidRDefault="002C05B7" w:rsidP="002C05B7">
            <w:pPr>
              <w:spacing w:after="0" w:line="240" w:lineRule="auto"/>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Share in total imports</w:t>
            </w:r>
          </w:p>
        </w:tc>
        <w:tc>
          <w:tcPr>
            <w:tcW w:w="850" w:type="dxa"/>
            <w:tcBorders>
              <w:top w:val="nil"/>
              <w:left w:val="nil"/>
              <w:bottom w:val="single" w:sz="4" w:space="0" w:color="auto"/>
              <w:right w:val="single" w:sz="4" w:space="0" w:color="auto"/>
            </w:tcBorders>
            <w:noWrap/>
            <w:vAlign w:val="center"/>
            <w:hideMark/>
          </w:tcPr>
          <w:p w14:paraId="66E5E688"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50.09</w:t>
            </w:r>
          </w:p>
        </w:tc>
        <w:tc>
          <w:tcPr>
            <w:tcW w:w="851" w:type="dxa"/>
            <w:tcBorders>
              <w:top w:val="nil"/>
              <w:left w:val="nil"/>
              <w:bottom w:val="single" w:sz="4" w:space="0" w:color="auto"/>
              <w:right w:val="single" w:sz="4" w:space="0" w:color="auto"/>
            </w:tcBorders>
            <w:noWrap/>
            <w:vAlign w:val="center"/>
            <w:hideMark/>
          </w:tcPr>
          <w:p w14:paraId="1CC9E4E5"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53.79</w:t>
            </w:r>
          </w:p>
        </w:tc>
        <w:tc>
          <w:tcPr>
            <w:tcW w:w="850" w:type="dxa"/>
            <w:tcBorders>
              <w:top w:val="nil"/>
              <w:left w:val="nil"/>
              <w:bottom w:val="single" w:sz="4" w:space="0" w:color="auto"/>
              <w:right w:val="single" w:sz="4" w:space="0" w:color="auto"/>
            </w:tcBorders>
            <w:noWrap/>
            <w:vAlign w:val="center"/>
            <w:hideMark/>
          </w:tcPr>
          <w:p w14:paraId="085EF7D7"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71.26</w:t>
            </w:r>
          </w:p>
        </w:tc>
        <w:tc>
          <w:tcPr>
            <w:tcW w:w="851" w:type="dxa"/>
            <w:tcBorders>
              <w:top w:val="nil"/>
              <w:left w:val="nil"/>
              <w:bottom w:val="single" w:sz="4" w:space="0" w:color="auto"/>
              <w:right w:val="single" w:sz="4" w:space="0" w:color="auto"/>
            </w:tcBorders>
            <w:noWrap/>
            <w:vAlign w:val="center"/>
            <w:hideMark/>
          </w:tcPr>
          <w:p w14:paraId="3E56B3FE"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56.65</w:t>
            </w:r>
          </w:p>
        </w:tc>
        <w:tc>
          <w:tcPr>
            <w:tcW w:w="850" w:type="dxa"/>
            <w:tcBorders>
              <w:top w:val="nil"/>
              <w:left w:val="nil"/>
              <w:bottom w:val="single" w:sz="4" w:space="0" w:color="auto"/>
              <w:right w:val="single" w:sz="4" w:space="0" w:color="auto"/>
            </w:tcBorders>
            <w:noWrap/>
            <w:vAlign w:val="center"/>
            <w:hideMark/>
          </w:tcPr>
          <w:p w14:paraId="1F43FCA7"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53.84</w:t>
            </w:r>
          </w:p>
        </w:tc>
        <w:tc>
          <w:tcPr>
            <w:tcW w:w="992" w:type="dxa"/>
            <w:tcBorders>
              <w:top w:val="nil"/>
              <w:left w:val="nil"/>
              <w:bottom w:val="single" w:sz="4" w:space="0" w:color="auto"/>
              <w:right w:val="single" w:sz="4" w:space="0" w:color="auto"/>
            </w:tcBorders>
            <w:noWrap/>
            <w:vAlign w:val="center"/>
            <w:hideMark/>
          </w:tcPr>
          <w:p w14:paraId="0E40634B"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993" w:type="dxa"/>
            <w:gridSpan w:val="2"/>
            <w:tcBorders>
              <w:top w:val="nil"/>
              <w:left w:val="nil"/>
              <w:bottom w:val="single" w:sz="4" w:space="0" w:color="auto"/>
              <w:right w:val="single" w:sz="4" w:space="0" w:color="auto"/>
            </w:tcBorders>
            <w:noWrap/>
            <w:vAlign w:val="center"/>
            <w:hideMark/>
          </w:tcPr>
          <w:p w14:paraId="572DF8CE"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936" w:type="dxa"/>
            <w:tcBorders>
              <w:top w:val="nil"/>
              <w:left w:val="nil"/>
              <w:bottom w:val="single" w:sz="4" w:space="0" w:color="auto"/>
              <w:right w:val="single" w:sz="4" w:space="0" w:color="auto"/>
            </w:tcBorders>
            <w:noWrap/>
            <w:vAlign w:val="center"/>
            <w:hideMark/>
          </w:tcPr>
          <w:p w14:paraId="19AED865"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821" w:type="dxa"/>
            <w:tcBorders>
              <w:top w:val="nil"/>
              <w:left w:val="nil"/>
              <w:bottom w:val="single" w:sz="4" w:space="0" w:color="auto"/>
              <w:right w:val="single" w:sz="4" w:space="0" w:color="auto"/>
            </w:tcBorders>
            <w:noWrap/>
            <w:vAlign w:val="center"/>
            <w:hideMark/>
          </w:tcPr>
          <w:p w14:paraId="63B06132"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r>
      <w:tr w:rsidR="002C05B7" w:rsidRPr="002C05B7" w14:paraId="2D9B4F69" w14:textId="77777777" w:rsidTr="002C05B7">
        <w:trPr>
          <w:trHeight w:val="285"/>
        </w:trPr>
        <w:tc>
          <w:tcPr>
            <w:tcW w:w="540" w:type="dxa"/>
            <w:tcBorders>
              <w:top w:val="nil"/>
              <w:left w:val="single" w:sz="4" w:space="0" w:color="auto"/>
              <w:bottom w:val="single" w:sz="4" w:space="0" w:color="auto"/>
              <w:right w:val="single" w:sz="4" w:space="0" w:color="auto"/>
            </w:tcBorders>
            <w:noWrap/>
            <w:vAlign w:val="bottom"/>
            <w:hideMark/>
          </w:tcPr>
          <w:p w14:paraId="57E9BBDD"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w:t>
            </w:r>
          </w:p>
        </w:tc>
        <w:tc>
          <w:tcPr>
            <w:tcW w:w="3005" w:type="dxa"/>
            <w:tcBorders>
              <w:top w:val="nil"/>
              <w:left w:val="nil"/>
              <w:bottom w:val="single" w:sz="4" w:space="0" w:color="auto"/>
              <w:right w:val="single" w:sz="4" w:space="0" w:color="auto"/>
            </w:tcBorders>
            <w:noWrap/>
            <w:vAlign w:val="bottom"/>
            <w:hideMark/>
          </w:tcPr>
          <w:p w14:paraId="3CD8EDF2" w14:textId="77777777" w:rsidR="002C05B7" w:rsidRPr="002C05B7" w:rsidRDefault="002C05B7" w:rsidP="002C05B7">
            <w:pPr>
              <w:spacing w:after="0" w:line="240" w:lineRule="auto"/>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PULSES</w:t>
            </w:r>
          </w:p>
        </w:tc>
        <w:tc>
          <w:tcPr>
            <w:tcW w:w="850" w:type="dxa"/>
            <w:tcBorders>
              <w:top w:val="nil"/>
              <w:left w:val="nil"/>
              <w:bottom w:val="single" w:sz="4" w:space="0" w:color="auto"/>
              <w:right w:val="single" w:sz="4" w:space="0" w:color="auto"/>
            </w:tcBorders>
            <w:noWrap/>
            <w:vAlign w:val="center"/>
            <w:hideMark/>
          </w:tcPr>
          <w:p w14:paraId="692D27FD"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126.20</w:t>
            </w:r>
          </w:p>
        </w:tc>
        <w:tc>
          <w:tcPr>
            <w:tcW w:w="851" w:type="dxa"/>
            <w:tcBorders>
              <w:top w:val="nil"/>
              <w:left w:val="nil"/>
              <w:bottom w:val="single" w:sz="4" w:space="0" w:color="auto"/>
              <w:right w:val="single" w:sz="4" w:space="0" w:color="auto"/>
            </w:tcBorders>
            <w:noWrap/>
            <w:vAlign w:val="center"/>
            <w:hideMark/>
          </w:tcPr>
          <w:p w14:paraId="04641544"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289.75</w:t>
            </w:r>
          </w:p>
        </w:tc>
        <w:tc>
          <w:tcPr>
            <w:tcW w:w="850" w:type="dxa"/>
            <w:tcBorders>
              <w:top w:val="nil"/>
              <w:left w:val="nil"/>
              <w:bottom w:val="single" w:sz="4" w:space="0" w:color="auto"/>
              <w:right w:val="single" w:sz="4" w:space="0" w:color="auto"/>
            </w:tcBorders>
            <w:noWrap/>
            <w:vAlign w:val="center"/>
            <w:hideMark/>
          </w:tcPr>
          <w:p w14:paraId="0E908AF4"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296.27</w:t>
            </w:r>
          </w:p>
        </w:tc>
        <w:tc>
          <w:tcPr>
            <w:tcW w:w="851" w:type="dxa"/>
            <w:tcBorders>
              <w:top w:val="nil"/>
              <w:left w:val="nil"/>
              <w:bottom w:val="single" w:sz="4" w:space="0" w:color="auto"/>
              <w:right w:val="single" w:sz="4" w:space="0" w:color="auto"/>
            </w:tcBorders>
            <w:noWrap/>
            <w:vAlign w:val="center"/>
            <w:hideMark/>
          </w:tcPr>
          <w:p w14:paraId="5A2F5D6C"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249.18</w:t>
            </w:r>
          </w:p>
        </w:tc>
        <w:tc>
          <w:tcPr>
            <w:tcW w:w="850" w:type="dxa"/>
            <w:tcBorders>
              <w:top w:val="nil"/>
              <w:left w:val="nil"/>
              <w:bottom w:val="single" w:sz="4" w:space="0" w:color="auto"/>
              <w:right w:val="single" w:sz="4" w:space="0" w:color="auto"/>
            </w:tcBorders>
            <w:noWrap/>
            <w:vAlign w:val="center"/>
            <w:hideMark/>
          </w:tcPr>
          <w:p w14:paraId="661FED92"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345.09</w:t>
            </w:r>
          </w:p>
        </w:tc>
        <w:tc>
          <w:tcPr>
            <w:tcW w:w="992" w:type="dxa"/>
            <w:tcBorders>
              <w:top w:val="nil"/>
              <w:left w:val="nil"/>
              <w:bottom w:val="single" w:sz="4" w:space="0" w:color="auto"/>
              <w:right w:val="single" w:sz="4" w:space="0" w:color="auto"/>
            </w:tcBorders>
            <w:noWrap/>
            <w:vAlign w:val="center"/>
            <w:hideMark/>
          </w:tcPr>
          <w:p w14:paraId="71E9E51C"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129.60</w:t>
            </w:r>
          </w:p>
        </w:tc>
        <w:tc>
          <w:tcPr>
            <w:tcW w:w="993" w:type="dxa"/>
            <w:gridSpan w:val="2"/>
            <w:tcBorders>
              <w:top w:val="nil"/>
              <w:left w:val="nil"/>
              <w:bottom w:val="single" w:sz="4" w:space="0" w:color="auto"/>
              <w:right w:val="single" w:sz="4" w:space="0" w:color="auto"/>
            </w:tcBorders>
            <w:noWrap/>
            <w:vAlign w:val="center"/>
            <w:hideMark/>
          </w:tcPr>
          <w:p w14:paraId="350752AB"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2.25</w:t>
            </w:r>
          </w:p>
        </w:tc>
        <w:tc>
          <w:tcPr>
            <w:tcW w:w="936" w:type="dxa"/>
            <w:tcBorders>
              <w:top w:val="nil"/>
              <w:left w:val="nil"/>
              <w:bottom w:val="single" w:sz="4" w:space="0" w:color="auto"/>
              <w:right w:val="single" w:sz="4" w:space="0" w:color="auto"/>
            </w:tcBorders>
            <w:noWrap/>
            <w:vAlign w:val="center"/>
            <w:hideMark/>
          </w:tcPr>
          <w:p w14:paraId="74FB2862"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-15.89</w:t>
            </w:r>
          </w:p>
        </w:tc>
        <w:tc>
          <w:tcPr>
            <w:tcW w:w="821" w:type="dxa"/>
            <w:tcBorders>
              <w:top w:val="nil"/>
              <w:left w:val="nil"/>
              <w:bottom w:val="single" w:sz="4" w:space="0" w:color="auto"/>
              <w:right w:val="single" w:sz="4" w:space="0" w:color="auto"/>
            </w:tcBorders>
            <w:noWrap/>
            <w:vAlign w:val="center"/>
            <w:hideMark/>
          </w:tcPr>
          <w:p w14:paraId="624935A1"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38.49</w:t>
            </w:r>
          </w:p>
        </w:tc>
      </w:tr>
      <w:tr w:rsidR="002C05B7" w:rsidRPr="002C05B7" w14:paraId="50DA5C28" w14:textId="77777777" w:rsidTr="002C05B7">
        <w:trPr>
          <w:trHeight w:val="300"/>
        </w:trPr>
        <w:tc>
          <w:tcPr>
            <w:tcW w:w="540" w:type="dxa"/>
            <w:tcBorders>
              <w:top w:val="nil"/>
              <w:left w:val="single" w:sz="4" w:space="0" w:color="auto"/>
              <w:bottom w:val="single" w:sz="4" w:space="0" w:color="auto"/>
              <w:right w:val="single" w:sz="4" w:space="0" w:color="auto"/>
            </w:tcBorders>
            <w:noWrap/>
            <w:vAlign w:val="bottom"/>
            <w:hideMark/>
          </w:tcPr>
          <w:p w14:paraId="3A423487"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 </w:t>
            </w:r>
          </w:p>
        </w:tc>
        <w:tc>
          <w:tcPr>
            <w:tcW w:w="3005" w:type="dxa"/>
            <w:tcBorders>
              <w:top w:val="nil"/>
              <w:left w:val="nil"/>
              <w:bottom w:val="single" w:sz="4" w:space="0" w:color="auto"/>
              <w:right w:val="single" w:sz="4" w:space="0" w:color="auto"/>
            </w:tcBorders>
            <w:noWrap/>
            <w:vAlign w:val="bottom"/>
            <w:hideMark/>
          </w:tcPr>
          <w:p w14:paraId="18E60087" w14:textId="77777777" w:rsidR="002C05B7" w:rsidRPr="002C05B7" w:rsidRDefault="002C05B7" w:rsidP="002C05B7">
            <w:pPr>
              <w:spacing w:after="0" w:line="240" w:lineRule="auto"/>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Share in total imports</w:t>
            </w:r>
          </w:p>
        </w:tc>
        <w:tc>
          <w:tcPr>
            <w:tcW w:w="850" w:type="dxa"/>
            <w:tcBorders>
              <w:top w:val="nil"/>
              <w:left w:val="nil"/>
              <w:bottom w:val="single" w:sz="4" w:space="0" w:color="auto"/>
              <w:right w:val="single" w:sz="4" w:space="0" w:color="auto"/>
            </w:tcBorders>
            <w:noWrap/>
            <w:vAlign w:val="center"/>
            <w:hideMark/>
          </w:tcPr>
          <w:p w14:paraId="4AAEFA95"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19.98</w:t>
            </w:r>
          </w:p>
        </w:tc>
        <w:tc>
          <w:tcPr>
            <w:tcW w:w="851" w:type="dxa"/>
            <w:tcBorders>
              <w:top w:val="nil"/>
              <w:left w:val="nil"/>
              <w:bottom w:val="single" w:sz="4" w:space="0" w:color="auto"/>
              <w:right w:val="single" w:sz="4" w:space="0" w:color="auto"/>
            </w:tcBorders>
            <w:noWrap/>
            <w:vAlign w:val="center"/>
            <w:hideMark/>
          </w:tcPr>
          <w:p w14:paraId="35D0012B"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15.42</w:t>
            </w:r>
          </w:p>
        </w:tc>
        <w:tc>
          <w:tcPr>
            <w:tcW w:w="850" w:type="dxa"/>
            <w:tcBorders>
              <w:top w:val="nil"/>
              <w:left w:val="nil"/>
              <w:bottom w:val="single" w:sz="4" w:space="0" w:color="auto"/>
              <w:right w:val="single" w:sz="4" w:space="0" w:color="auto"/>
            </w:tcBorders>
            <w:noWrap/>
            <w:vAlign w:val="center"/>
            <w:hideMark/>
          </w:tcPr>
          <w:p w14:paraId="07C99CB3"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11.75</w:t>
            </w:r>
          </w:p>
        </w:tc>
        <w:tc>
          <w:tcPr>
            <w:tcW w:w="851" w:type="dxa"/>
            <w:tcBorders>
              <w:top w:val="nil"/>
              <w:left w:val="nil"/>
              <w:bottom w:val="single" w:sz="4" w:space="0" w:color="auto"/>
              <w:right w:val="single" w:sz="4" w:space="0" w:color="auto"/>
            </w:tcBorders>
            <w:noWrap/>
            <w:vAlign w:val="center"/>
            <w:hideMark/>
          </w:tcPr>
          <w:p w14:paraId="5C8D3CD7"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10.30</w:t>
            </w:r>
          </w:p>
        </w:tc>
        <w:tc>
          <w:tcPr>
            <w:tcW w:w="850" w:type="dxa"/>
            <w:tcBorders>
              <w:top w:val="nil"/>
              <w:left w:val="nil"/>
              <w:bottom w:val="single" w:sz="4" w:space="0" w:color="auto"/>
              <w:right w:val="single" w:sz="4" w:space="0" w:color="auto"/>
            </w:tcBorders>
            <w:noWrap/>
            <w:vAlign w:val="center"/>
            <w:hideMark/>
          </w:tcPr>
          <w:p w14:paraId="3163FEB0"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16.45</w:t>
            </w:r>
          </w:p>
        </w:tc>
        <w:tc>
          <w:tcPr>
            <w:tcW w:w="992" w:type="dxa"/>
            <w:tcBorders>
              <w:top w:val="nil"/>
              <w:left w:val="nil"/>
              <w:bottom w:val="single" w:sz="4" w:space="0" w:color="auto"/>
              <w:right w:val="single" w:sz="4" w:space="0" w:color="auto"/>
            </w:tcBorders>
            <w:noWrap/>
            <w:vAlign w:val="center"/>
            <w:hideMark/>
          </w:tcPr>
          <w:p w14:paraId="642E8612"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993" w:type="dxa"/>
            <w:gridSpan w:val="2"/>
            <w:tcBorders>
              <w:top w:val="nil"/>
              <w:left w:val="nil"/>
              <w:bottom w:val="single" w:sz="4" w:space="0" w:color="auto"/>
              <w:right w:val="single" w:sz="4" w:space="0" w:color="auto"/>
            </w:tcBorders>
            <w:noWrap/>
            <w:vAlign w:val="center"/>
            <w:hideMark/>
          </w:tcPr>
          <w:p w14:paraId="67DA3C19"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936" w:type="dxa"/>
            <w:tcBorders>
              <w:top w:val="nil"/>
              <w:left w:val="nil"/>
              <w:bottom w:val="single" w:sz="4" w:space="0" w:color="auto"/>
              <w:right w:val="single" w:sz="4" w:space="0" w:color="auto"/>
            </w:tcBorders>
            <w:noWrap/>
            <w:vAlign w:val="center"/>
            <w:hideMark/>
          </w:tcPr>
          <w:p w14:paraId="3A4089F0"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821" w:type="dxa"/>
            <w:tcBorders>
              <w:top w:val="nil"/>
              <w:left w:val="nil"/>
              <w:bottom w:val="single" w:sz="4" w:space="0" w:color="auto"/>
              <w:right w:val="single" w:sz="4" w:space="0" w:color="auto"/>
            </w:tcBorders>
            <w:noWrap/>
            <w:vAlign w:val="center"/>
            <w:hideMark/>
          </w:tcPr>
          <w:p w14:paraId="58F88385"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r>
      <w:tr w:rsidR="002C05B7" w:rsidRPr="002C05B7" w14:paraId="5F7C61CA" w14:textId="77777777" w:rsidTr="002C05B7">
        <w:trPr>
          <w:trHeight w:val="285"/>
        </w:trPr>
        <w:tc>
          <w:tcPr>
            <w:tcW w:w="540" w:type="dxa"/>
            <w:tcBorders>
              <w:top w:val="nil"/>
              <w:left w:val="single" w:sz="4" w:space="0" w:color="auto"/>
              <w:bottom w:val="single" w:sz="4" w:space="0" w:color="auto"/>
              <w:right w:val="single" w:sz="4" w:space="0" w:color="auto"/>
            </w:tcBorders>
            <w:noWrap/>
            <w:vAlign w:val="bottom"/>
            <w:hideMark/>
          </w:tcPr>
          <w:p w14:paraId="640E5860"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3</w:t>
            </w:r>
          </w:p>
        </w:tc>
        <w:tc>
          <w:tcPr>
            <w:tcW w:w="3005" w:type="dxa"/>
            <w:tcBorders>
              <w:top w:val="nil"/>
              <w:left w:val="nil"/>
              <w:bottom w:val="single" w:sz="4" w:space="0" w:color="auto"/>
              <w:right w:val="single" w:sz="4" w:space="0" w:color="auto"/>
            </w:tcBorders>
            <w:noWrap/>
            <w:vAlign w:val="bottom"/>
            <w:hideMark/>
          </w:tcPr>
          <w:p w14:paraId="15613FA8" w14:textId="77777777" w:rsidR="002C05B7" w:rsidRPr="002C05B7" w:rsidRDefault="002C05B7" w:rsidP="002C05B7">
            <w:pPr>
              <w:spacing w:after="0" w:line="240" w:lineRule="auto"/>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PETROLEUM PRODUCTS</w:t>
            </w:r>
          </w:p>
        </w:tc>
        <w:tc>
          <w:tcPr>
            <w:tcW w:w="850" w:type="dxa"/>
            <w:tcBorders>
              <w:top w:val="nil"/>
              <w:left w:val="nil"/>
              <w:bottom w:val="single" w:sz="4" w:space="0" w:color="auto"/>
              <w:right w:val="single" w:sz="4" w:space="0" w:color="auto"/>
            </w:tcBorders>
            <w:noWrap/>
            <w:vAlign w:val="center"/>
            <w:hideMark/>
          </w:tcPr>
          <w:p w14:paraId="4ED3CF45"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851" w:type="dxa"/>
            <w:tcBorders>
              <w:top w:val="nil"/>
              <w:left w:val="nil"/>
              <w:bottom w:val="single" w:sz="4" w:space="0" w:color="auto"/>
              <w:right w:val="single" w:sz="4" w:space="0" w:color="auto"/>
            </w:tcBorders>
            <w:noWrap/>
            <w:vAlign w:val="center"/>
            <w:hideMark/>
          </w:tcPr>
          <w:p w14:paraId="2EC36F98"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850" w:type="dxa"/>
            <w:tcBorders>
              <w:top w:val="nil"/>
              <w:left w:val="nil"/>
              <w:bottom w:val="single" w:sz="4" w:space="0" w:color="auto"/>
              <w:right w:val="single" w:sz="4" w:space="0" w:color="auto"/>
            </w:tcBorders>
            <w:noWrap/>
            <w:vAlign w:val="center"/>
            <w:hideMark/>
          </w:tcPr>
          <w:p w14:paraId="1A9CF8C8"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851" w:type="dxa"/>
            <w:tcBorders>
              <w:top w:val="nil"/>
              <w:left w:val="nil"/>
              <w:bottom w:val="single" w:sz="4" w:space="0" w:color="auto"/>
              <w:right w:val="single" w:sz="4" w:space="0" w:color="auto"/>
            </w:tcBorders>
            <w:noWrap/>
            <w:vAlign w:val="center"/>
            <w:hideMark/>
          </w:tcPr>
          <w:p w14:paraId="1300CCFA"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314.54</w:t>
            </w:r>
          </w:p>
        </w:tc>
        <w:tc>
          <w:tcPr>
            <w:tcW w:w="850" w:type="dxa"/>
            <w:tcBorders>
              <w:top w:val="nil"/>
              <w:left w:val="nil"/>
              <w:bottom w:val="single" w:sz="4" w:space="0" w:color="auto"/>
              <w:right w:val="single" w:sz="4" w:space="0" w:color="auto"/>
            </w:tcBorders>
            <w:noWrap/>
            <w:vAlign w:val="center"/>
            <w:hideMark/>
          </w:tcPr>
          <w:p w14:paraId="20C44EC4"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252.62</w:t>
            </w:r>
          </w:p>
        </w:tc>
        <w:tc>
          <w:tcPr>
            <w:tcW w:w="992" w:type="dxa"/>
            <w:tcBorders>
              <w:top w:val="nil"/>
              <w:left w:val="nil"/>
              <w:bottom w:val="single" w:sz="4" w:space="0" w:color="auto"/>
              <w:right w:val="single" w:sz="4" w:space="0" w:color="auto"/>
            </w:tcBorders>
            <w:noWrap/>
            <w:vAlign w:val="center"/>
            <w:hideMark/>
          </w:tcPr>
          <w:p w14:paraId="260E74AB"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993" w:type="dxa"/>
            <w:gridSpan w:val="2"/>
            <w:tcBorders>
              <w:top w:val="nil"/>
              <w:left w:val="nil"/>
              <w:bottom w:val="single" w:sz="4" w:space="0" w:color="auto"/>
              <w:right w:val="single" w:sz="4" w:space="0" w:color="auto"/>
            </w:tcBorders>
            <w:noWrap/>
            <w:vAlign w:val="center"/>
            <w:hideMark/>
          </w:tcPr>
          <w:p w14:paraId="139E9832"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936" w:type="dxa"/>
            <w:tcBorders>
              <w:top w:val="nil"/>
              <w:left w:val="nil"/>
              <w:bottom w:val="single" w:sz="4" w:space="0" w:color="auto"/>
              <w:right w:val="single" w:sz="4" w:space="0" w:color="auto"/>
            </w:tcBorders>
            <w:noWrap/>
            <w:vAlign w:val="center"/>
            <w:hideMark/>
          </w:tcPr>
          <w:p w14:paraId="464161FF"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821" w:type="dxa"/>
            <w:tcBorders>
              <w:top w:val="nil"/>
              <w:left w:val="nil"/>
              <w:bottom w:val="single" w:sz="4" w:space="0" w:color="auto"/>
              <w:right w:val="single" w:sz="4" w:space="0" w:color="auto"/>
            </w:tcBorders>
            <w:noWrap/>
            <w:vAlign w:val="center"/>
            <w:hideMark/>
          </w:tcPr>
          <w:p w14:paraId="55595771"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-19.69</w:t>
            </w:r>
          </w:p>
        </w:tc>
      </w:tr>
      <w:tr w:rsidR="002C05B7" w:rsidRPr="002C05B7" w14:paraId="1A1BDE66" w14:textId="77777777" w:rsidTr="002C05B7">
        <w:trPr>
          <w:trHeight w:val="300"/>
        </w:trPr>
        <w:tc>
          <w:tcPr>
            <w:tcW w:w="540" w:type="dxa"/>
            <w:tcBorders>
              <w:top w:val="nil"/>
              <w:left w:val="single" w:sz="4" w:space="0" w:color="auto"/>
              <w:bottom w:val="single" w:sz="4" w:space="0" w:color="auto"/>
              <w:right w:val="single" w:sz="4" w:space="0" w:color="auto"/>
            </w:tcBorders>
            <w:noWrap/>
            <w:vAlign w:val="bottom"/>
            <w:hideMark/>
          </w:tcPr>
          <w:p w14:paraId="41C0771F"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 </w:t>
            </w:r>
          </w:p>
        </w:tc>
        <w:tc>
          <w:tcPr>
            <w:tcW w:w="3005" w:type="dxa"/>
            <w:tcBorders>
              <w:top w:val="nil"/>
              <w:left w:val="nil"/>
              <w:bottom w:val="single" w:sz="4" w:space="0" w:color="auto"/>
              <w:right w:val="single" w:sz="4" w:space="0" w:color="auto"/>
            </w:tcBorders>
            <w:noWrap/>
            <w:vAlign w:val="bottom"/>
            <w:hideMark/>
          </w:tcPr>
          <w:p w14:paraId="0FA6B9F4" w14:textId="77777777" w:rsidR="002C05B7" w:rsidRPr="002C05B7" w:rsidRDefault="002C05B7" w:rsidP="002C05B7">
            <w:pPr>
              <w:spacing w:after="0" w:line="240" w:lineRule="auto"/>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Share in total imports.</w:t>
            </w:r>
          </w:p>
        </w:tc>
        <w:tc>
          <w:tcPr>
            <w:tcW w:w="850" w:type="dxa"/>
            <w:tcBorders>
              <w:top w:val="nil"/>
              <w:left w:val="nil"/>
              <w:bottom w:val="single" w:sz="4" w:space="0" w:color="auto"/>
              <w:right w:val="single" w:sz="4" w:space="0" w:color="auto"/>
            </w:tcBorders>
            <w:noWrap/>
            <w:vAlign w:val="center"/>
            <w:hideMark/>
          </w:tcPr>
          <w:p w14:paraId="0A388961"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0.00</w:t>
            </w:r>
          </w:p>
        </w:tc>
        <w:tc>
          <w:tcPr>
            <w:tcW w:w="851" w:type="dxa"/>
            <w:tcBorders>
              <w:top w:val="nil"/>
              <w:left w:val="nil"/>
              <w:bottom w:val="single" w:sz="4" w:space="0" w:color="auto"/>
              <w:right w:val="single" w:sz="4" w:space="0" w:color="auto"/>
            </w:tcBorders>
            <w:noWrap/>
            <w:vAlign w:val="center"/>
            <w:hideMark/>
          </w:tcPr>
          <w:p w14:paraId="35FB0982"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0.00</w:t>
            </w:r>
          </w:p>
        </w:tc>
        <w:tc>
          <w:tcPr>
            <w:tcW w:w="850" w:type="dxa"/>
            <w:tcBorders>
              <w:top w:val="nil"/>
              <w:left w:val="nil"/>
              <w:bottom w:val="single" w:sz="4" w:space="0" w:color="auto"/>
              <w:right w:val="single" w:sz="4" w:space="0" w:color="auto"/>
            </w:tcBorders>
            <w:noWrap/>
            <w:vAlign w:val="center"/>
            <w:hideMark/>
          </w:tcPr>
          <w:p w14:paraId="7AA88DB3"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0.00</w:t>
            </w:r>
          </w:p>
        </w:tc>
        <w:tc>
          <w:tcPr>
            <w:tcW w:w="851" w:type="dxa"/>
            <w:tcBorders>
              <w:top w:val="nil"/>
              <w:left w:val="nil"/>
              <w:bottom w:val="single" w:sz="4" w:space="0" w:color="auto"/>
              <w:right w:val="single" w:sz="4" w:space="0" w:color="auto"/>
            </w:tcBorders>
            <w:noWrap/>
            <w:vAlign w:val="center"/>
            <w:hideMark/>
          </w:tcPr>
          <w:p w14:paraId="2F510530"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13.00</w:t>
            </w:r>
          </w:p>
        </w:tc>
        <w:tc>
          <w:tcPr>
            <w:tcW w:w="850" w:type="dxa"/>
            <w:tcBorders>
              <w:top w:val="nil"/>
              <w:left w:val="nil"/>
              <w:bottom w:val="single" w:sz="4" w:space="0" w:color="auto"/>
              <w:right w:val="single" w:sz="4" w:space="0" w:color="auto"/>
            </w:tcBorders>
            <w:noWrap/>
            <w:vAlign w:val="center"/>
            <w:hideMark/>
          </w:tcPr>
          <w:p w14:paraId="5240D156"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12.05</w:t>
            </w:r>
          </w:p>
        </w:tc>
        <w:tc>
          <w:tcPr>
            <w:tcW w:w="992" w:type="dxa"/>
            <w:tcBorders>
              <w:top w:val="nil"/>
              <w:left w:val="nil"/>
              <w:bottom w:val="single" w:sz="4" w:space="0" w:color="auto"/>
              <w:right w:val="single" w:sz="4" w:space="0" w:color="auto"/>
            </w:tcBorders>
            <w:noWrap/>
            <w:vAlign w:val="center"/>
            <w:hideMark/>
          </w:tcPr>
          <w:p w14:paraId="1BABB459"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993" w:type="dxa"/>
            <w:gridSpan w:val="2"/>
            <w:tcBorders>
              <w:top w:val="nil"/>
              <w:left w:val="nil"/>
              <w:bottom w:val="single" w:sz="4" w:space="0" w:color="auto"/>
              <w:right w:val="single" w:sz="4" w:space="0" w:color="auto"/>
            </w:tcBorders>
            <w:noWrap/>
            <w:vAlign w:val="center"/>
            <w:hideMark/>
          </w:tcPr>
          <w:p w14:paraId="25328796"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936" w:type="dxa"/>
            <w:tcBorders>
              <w:top w:val="nil"/>
              <w:left w:val="nil"/>
              <w:bottom w:val="single" w:sz="4" w:space="0" w:color="auto"/>
              <w:right w:val="single" w:sz="4" w:space="0" w:color="auto"/>
            </w:tcBorders>
            <w:noWrap/>
            <w:vAlign w:val="center"/>
            <w:hideMark/>
          </w:tcPr>
          <w:p w14:paraId="1E884363"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821" w:type="dxa"/>
            <w:tcBorders>
              <w:top w:val="nil"/>
              <w:left w:val="nil"/>
              <w:bottom w:val="single" w:sz="4" w:space="0" w:color="auto"/>
              <w:right w:val="single" w:sz="4" w:space="0" w:color="auto"/>
            </w:tcBorders>
            <w:noWrap/>
            <w:vAlign w:val="center"/>
            <w:hideMark/>
          </w:tcPr>
          <w:p w14:paraId="6C8DE1C9"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r>
      <w:tr w:rsidR="002C05B7" w:rsidRPr="002C05B7" w14:paraId="5210CDF7" w14:textId="77777777" w:rsidTr="002C05B7">
        <w:trPr>
          <w:trHeight w:val="285"/>
        </w:trPr>
        <w:tc>
          <w:tcPr>
            <w:tcW w:w="540" w:type="dxa"/>
            <w:tcBorders>
              <w:top w:val="nil"/>
              <w:left w:val="single" w:sz="4" w:space="0" w:color="auto"/>
              <w:bottom w:val="single" w:sz="4" w:space="0" w:color="auto"/>
              <w:right w:val="single" w:sz="4" w:space="0" w:color="auto"/>
            </w:tcBorders>
            <w:noWrap/>
            <w:vAlign w:val="bottom"/>
            <w:hideMark/>
          </w:tcPr>
          <w:p w14:paraId="3A2FA4A1"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4</w:t>
            </w:r>
          </w:p>
        </w:tc>
        <w:tc>
          <w:tcPr>
            <w:tcW w:w="3005" w:type="dxa"/>
            <w:tcBorders>
              <w:top w:val="nil"/>
              <w:left w:val="nil"/>
              <w:bottom w:val="single" w:sz="4" w:space="0" w:color="auto"/>
              <w:right w:val="single" w:sz="4" w:space="0" w:color="auto"/>
            </w:tcBorders>
            <w:noWrap/>
            <w:vAlign w:val="bottom"/>
            <w:hideMark/>
          </w:tcPr>
          <w:p w14:paraId="50CB8975" w14:textId="77777777" w:rsidR="002C05B7" w:rsidRPr="002C05B7" w:rsidRDefault="002C05B7" w:rsidP="002C05B7">
            <w:pPr>
              <w:spacing w:after="0" w:line="240" w:lineRule="auto"/>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COPPER AND PRDCTS MADE OF COPR</w:t>
            </w:r>
          </w:p>
        </w:tc>
        <w:tc>
          <w:tcPr>
            <w:tcW w:w="850" w:type="dxa"/>
            <w:tcBorders>
              <w:top w:val="nil"/>
              <w:left w:val="nil"/>
              <w:bottom w:val="single" w:sz="4" w:space="0" w:color="auto"/>
              <w:right w:val="single" w:sz="4" w:space="0" w:color="auto"/>
            </w:tcBorders>
            <w:noWrap/>
            <w:vAlign w:val="center"/>
            <w:hideMark/>
          </w:tcPr>
          <w:p w14:paraId="2B652698"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86.31</w:t>
            </w:r>
          </w:p>
        </w:tc>
        <w:tc>
          <w:tcPr>
            <w:tcW w:w="851" w:type="dxa"/>
            <w:tcBorders>
              <w:top w:val="nil"/>
              <w:left w:val="nil"/>
              <w:bottom w:val="single" w:sz="4" w:space="0" w:color="auto"/>
              <w:right w:val="single" w:sz="4" w:space="0" w:color="auto"/>
            </w:tcBorders>
            <w:noWrap/>
            <w:vAlign w:val="center"/>
            <w:hideMark/>
          </w:tcPr>
          <w:p w14:paraId="62866DEF"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223.39</w:t>
            </w:r>
          </w:p>
        </w:tc>
        <w:tc>
          <w:tcPr>
            <w:tcW w:w="850" w:type="dxa"/>
            <w:tcBorders>
              <w:top w:val="nil"/>
              <w:left w:val="nil"/>
              <w:bottom w:val="single" w:sz="4" w:space="0" w:color="auto"/>
              <w:right w:val="single" w:sz="4" w:space="0" w:color="auto"/>
            </w:tcBorders>
            <w:noWrap/>
            <w:vAlign w:val="center"/>
            <w:hideMark/>
          </w:tcPr>
          <w:p w14:paraId="5A34460F"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230.30</w:t>
            </w:r>
          </w:p>
        </w:tc>
        <w:tc>
          <w:tcPr>
            <w:tcW w:w="851" w:type="dxa"/>
            <w:tcBorders>
              <w:top w:val="nil"/>
              <w:left w:val="nil"/>
              <w:bottom w:val="single" w:sz="4" w:space="0" w:color="auto"/>
              <w:right w:val="single" w:sz="4" w:space="0" w:color="auto"/>
            </w:tcBorders>
            <w:noWrap/>
            <w:vAlign w:val="center"/>
            <w:hideMark/>
          </w:tcPr>
          <w:p w14:paraId="22709E4B"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281.89</w:t>
            </w:r>
          </w:p>
        </w:tc>
        <w:tc>
          <w:tcPr>
            <w:tcW w:w="850" w:type="dxa"/>
            <w:tcBorders>
              <w:top w:val="nil"/>
              <w:left w:val="nil"/>
              <w:bottom w:val="single" w:sz="4" w:space="0" w:color="auto"/>
              <w:right w:val="single" w:sz="4" w:space="0" w:color="auto"/>
            </w:tcBorders>
            <w:noWrap/>
            <w:vAlign w:val="center"/>
            <w:hideMark/>
          </w:tcPr>
          <w:p w14:paraId="55756BDA"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177.49</w:t>
            </w:r>
          </w:p>
        </w:tc>
        <w:tc>
          <w:tcPr>
            <w:tcW w:w="992" w:type="dxa"/>
            <w:tcBorders>
              <w:top w:val="nil"/>
              <w:left w:val="nil"/>
              <w:bottom w:val="single" w:sz="4" w:space="0" w:color="auto"/>
              <w:right w:val="single" w:sz="4" w:space="0" w:color="auto"/>
            </w:tcBorders>
            <w:noWrap/>
            <w:vAlign w:val="center"/>
            <w:hideMark/>
          </w:tcPr>
          <w:p w14:paraId="14B76469"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158.82</w:t>
            </w:r>
          </w:p>
        </w:tc>
        <w:tc>
          <w:tcPr>
            <w:tcW w:w="993" w:type="dxa"/>
            <w:gridSpan w:val="2"/>
            <w:tcBorders>
              <w:top w:val="nil"/>
              <w:left w:val="nil"/>
              <w:bottom w:val="single" w:sz="4" w:space="0" w:color="auto"/>
              <w:right w:val="single" w:sz="4" w:space="0" w:color="auto"/>
            </w:tcBorders>
            <w:noWrap/>
            <w:vAlign w:val="center"/>
            <w:hideMark/>
          </w:tcPr>
          <w:p w14:paraId="5A93DE4B"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3.09</w:t>
            </w:r>
          </w:p>
        </w:tc>
        <w:tc>
          <w:tcPr>
            <w:tcW w:w="936" w:type="dxa"/>
            <w:tcBorders>
              <w:top w:val="nil"/>
              <w:left w:val="nil"/>
              <w:bottom w:val="single" w:sz="4" w:space="0" w:color="auto"/>
              <w:right w:val="single" w:sz="4" w:space="0" w:color="auto"/>
            </w:tcBorders>
            <w:noWrap/>
            <w:vAlign w:val="center"/>
            <w:hideMark/>
          </w:tcPr>
          <w:p w14:paraId="75C3CE64"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22.40</w:t>
            </w:r>
          </w:p>
        </w:tc>
        <w:tc>
          <w:tcPr>
            <w:tcW w:w="821" w:type="dxa"/>
            <w:tcBorders>
              <w:top w:val="nil"/>
              <w:left w:val="nil"/>
              <w:bottom w:val="single" w:sz="4" w:space="0" w:color="auto"/>
              <w:right w:val="single" w:sz="4" w:space="0" w:color="auto"/>
            </w:tcBorders>
            <w:noWrap/>
            <w:vAlign w:val="center"/>
            <w:hideMark/>
          </w:tcPr>
          <w:p w14:paraId="73D1C8C9"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-37.03</w:t>
            </w:r>
          </w:p>
        </w:tc>
      </w:tr>
      <w:tr w:rsidR="002C05B7" w:rsidRPr="002C05B7" w14:paraId="52693814" w14:textId="77777777" w:rsidTr="002C05B7">
        <w:trPr>
          <w:trHeight w:val="300"/>
        </w:trPr>
        <w:tc>
          <w:tcPr>
            <w:tcW w:w="540" w:type="dxa"/>
            <w:tcBorders>
              <w:top w:val="nil"/>
              <w:left w:val="single" w:sz="4" w:space="0" w:color="auto"/>
              <w:bottom w:val="single" w:sz="4" w:space="0" w:color="auto"/>
              <w:right w:val="single" w:sz="4" w:space="0" w:color="auto"/>
            </w:tcBorders>
            <w:noWrap/>
            <w:vAlign w:val="bottom"/>
            <w:hideMark/>
          </w:tcPr>
          <w:p w14:paraId="69BA5BD0"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 </w:t>
            </w:r>
          </w:p>
        </w:tc>
        <w:tc>
          <w:tcPr>
            <w:tcW w:w="3005" w:type="dxa"/>
            <w:tcBorders>
              <w:top w:val="nil"/>
              <w:left w:val="nil"/>
              <w:bottom w:val="single" w:sz="4" w:space="0" w:color="auto"/>
              <w:right w:val="single" w:sz="4" w:space="0" w:color="auto"/>
            </w:tcBorders>
            <w:noWrap/>
            <w:vAlign w:val="bottom"/>
            <w:hideMark/>
          </w:tcPr>
          <w:p w14:paraId="2D6127A9" w14:textId="77777777" w:rsidR="002C05B7" w:rsidRPr="002C05B7" w:rsidRDefault="002C05B7" w:rsidP="002C05B7">
            <w:pPr>
              <w:spacing w:after="0" w:line="240" w:lineRule="auto"/>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Share in total import</w:t>
            </w:r>
          </w:p>
        </w:tc>
        <w:tc>
          <w:tcPr>
            <w:tcW w:w="850" w:type="dxa"/>
            <w:tcBorders>
              <w:top w:val="nil"/>
              <w:left w:val="nil"/>
              <w:bottom w:val="single" w:sz="4" w:space="0" w:color="auto"/>
              <w:right w:val="single" w:sz="4" w:space="0" w:color="auto"/>
            </w:tcBorders>
            <w:noWrap/>
            <w:vAlign w:val="center"/>
            <w:hideMark/>
          </w:tcPr>
          <w:p w14:paraId="033B43DB"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13.67</w:t>
            </w:r>
          </w:p>
        </w:tc>
        <w:tc>
          <w:tcPr>
            <w:tcW w:w="851" w:type="dxa"/>
            <w:tcBorders>
              <w:top w:val="nil"/>
              <w:left w:val="nil"/>
              <w:bottom w:val="single" w:sz="4" w:space="0" w:color="auto"/>
              <w:right w:val="single" w:sz="4" w:space="0" w:color="auto"/>
            </w:tcBorders>
            <w:noWrap/>
            <w:vAlign w:val="center"/>
            <w:hideMark/>
          </w:tcPr>
          <w:p w14:paraId="13A6EAA6"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11.89</w:t>
            </w:r>
          </w:p>
        </w:tc>
        <w:tc>
          <w:tcPr>
            <w:tcW w:w="850" w:type="dxa"/>
            <w:tcBorders>
              <w:top w:val="nil"/>
              <w:left w:val="nil"/>
              <w:bottom w:val="single" w:sz="4" w:space="0" w:color="auto"/>
              <w:right w:val="single" w:sz="4" w:space="0" w:color="auto"/>
            </w:tcBorders>
            <w:noWrap/>
            <w:vAlign w:val="center"/>
            <w:hideMark/>
          </w:tcPr>
          <w:p w14:paraId="05849DBB"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9.13</w:t>
            </w:r>
          </w:p>
        </w:tc>
        <w:tc>
          <w:tcPr>
            <w:tcW w:w="851" w:type="dxa"/>
            <w:tcBorders>
              <w:top w:val="nil"/>
              <w:left w:val="nil"/>
              <w:bottom w:val="single" w:sz="4" w:space="0" w:color="auto"/>
              <w:right w:val="single" w:sz="4" w:space="0" w:color="auto"/>
            </w:tcBorders>
            <w:noWrap/>
            <w:vAlign w:val="center"/>
            <w:hideMark/>
          </w:tcPr>
          <w:p w14:paraId="4BA3B49F"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11.65</w:t>
            </w:r>
          </w:p>
        </w:tc>
        <w:tc>
          <w:tcPr>
            <w:tcW w:w="850" w:type="dxa"/>
            <w:tcBorders>
              <w:top w:val="nil"/>
              <w:left w:val="nil"/>
              <w:bottom w:val="single" w:sz="4" w:space="0" w:color="auto"/>
              <w:right w:val="single" w:sz="4" w:space="0" w:color="auto"/>
            </w:tcBorders>
            <w:noWrap/>
            <w:vAlign w:val="center"/>
            <w:hideMark/>
          </w:tcPr>
          <w:p w14:paraId="62551F9C"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8.46</w:t>
            </w:r>
          </w:p>
        </w:tc>
        <w:tc>
          <w:tcPr>
            <w:tcW w:w="992" w:type="dxa"/>
            <w:tcBorders>
              <w:top w:val="nil"/>
              <w:left w:val="nil"/>
              <w:bottom w:val="single" w:sz="4" w:space="0" w:color="auto"/>
              <w:right w:val="single" w:sz="4" w:space="0" w:color="auto"/>
            </w:tcBorders>
            <w:noWrap/>
            <w:vAlign w:val="center"/>
            <w:hideMark/>
          </w:tcPr>
          <w:p w14:paraId="76AA9A6E"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993" w:type="dxa"/>
            <w:gridSpan w:val="2"/>
            <w:tcBorders>
              <w:top w:val="nil"/>
              <w:left w:val="nil"/>
              <w:bottom w:val="single" w:sz="4" w:space="0" w:color="auto"/>
              <w:right w:val="single" w:sz="4" w:space="0" w:color="auto"/>
            </w:tcBorders>
            <w:noWrap/>
            <w:vAlign w:val="center"/>
            <w:hideMark/>
          </w:tcPr>
          <w:p w14:paraId="09F36A58"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936" w:type="dxa"/>
            <w:tcBorders>
              <w:top w:val="nil"/>
              <w:left w:val="nil"/>
              <w:bottom w:val="single" w:sz="4" w:space="0" w:color="auto"/>
              <w:right w:val="single" w:sz="4" w:space="0" w:color="auto"/>
            </w:tcBorders>
            <w:noWrap/>
            <w:vAlign w:val="center"/>
            <w:hideMark/>
          </w:tcPr>
          <w:p w14:paraId="5A437986"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821" w:type="dxa"/>
            <w:tcBorders>
              <w:top w:val="nil"/>
              <w:left w:val="nil"/>
              <w:bottom w:val="single" w:sz="4" w:space="0" w:color="auto"/>
              <w:right w:val="single" w:sz="4" w:space="0" w:color="auto"/>
            </w:tcBorders>
            <w:noWrap/>
            <w:vAlign w:val="center"/>
            <w:hideMark/>
          </w:tcPr>
          <w:p w14:paraId="6999F56D"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r>
      <w:tr w:rsidR="002C05B7" w:rsidRPr="002C05B7" w14:paraId="074C8418" w14:textId="77777777" w:rsidTr="002C05B7">
        <w:trPr>
          <w:trHeight w:val="285"/>
        </w:trPr>
        <w:tc>
          <w:tcPr>
            <w:tcW w:w="540" w:type="dxa"/>
            <w:tcBorders>
              <w:top w:val="nil"/>
              <w:left w:val="single" w:sz="4" w:space="0" w:color="auto"/>
              <w:bottom w:val="single" w:sz="4" w:space="0" w:color="auto"/>
              <w:right w:val="single" w:sz="4" w:space="0" w:color="auto"/>
            </w:tcBorders>
            <w:noWrap/>
            <w:vAlign w:val="bottom"/>
            <w:hideMark/>
          </w:tcPr>
          <w:p w14:paraId="29993D2B"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5</w:t>
            </w:r>
          </w:p>
        </w:tc>
        <w:tc>
          <w:tcPr>
            <w:tcW w:w="3005" w:type="dxa"/>
            <w:tcBorders>
              <w:top w:val="nil"/>
              <w:left w:val="nil"/>
              <w:bottom w:val="single" w:sz="4" w:space="0" w:color="auto"/>
              <w:right w:val="single" w:sz="4" w:space="0" w:color="auto"/>
            </w:tcBorders>
            <w:noWrap/>
            <w:vAlign w:val="bottom"/>
            <w:hideMark/>
          </w:tcPr>
          <w:p w14:paraId="76CC75A8" w14:textId="77777777" w:rsidR="002C05B7" w:rsidRPr="002C05B7" w:rsidRDefault="002C05B7" w:rsidP="002C05B7">
            <w:pPr>
              <w:spacing w:after="0" w:line="240" w:lineRule="auto"/>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IRON AND STEEL</w:t>
            </w:r>
          </w:p>
        </w:tc>
        <w:tc>
          <w:tcPr>
            <w:tcW w:w="850" w:type="dxa"/>
            <w:tcBorders>
              <w:top w:val="nil"/>
              <w:left w:val="nil"/>
              <w:bottom w:val="single" w:sz="4" w:space="0" w:color="auto"/>
              <w:right w:val="single" w:sz="4" w:space="0" w:color="auto"/>
            </w:tcBorders>
            <w:noWrap/>
            <w:vAlign w:val="center"/>
            <w:hideMark/>
          </w:tcPr>
          <w:p w14:paraId="1CCAA279"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18.08</w:t>
            </w:r>
          </w:p>
        </w:tc>
        <w:tc>
          <w:tcPr>
            <w:tcW w:w="851" w:type="dxa"/>
            <w:tcBorders>
              <w:top w:val="nil"/>
              <w:left w:val="nil"/>
              <w:bottom w:val="single" w:sz="4" w:space="0" w:color="auto"/>
              <w:right w:val="single" w:sz="4" w:space="0" w:color="auto"/>
            </w:tcBorders>
            <w:noWrap/>
            <w:vAlign w:val="center"/>
            <w:hideMark/>
          </w:tcPr>
          <w:p w14:paraId="24C7B9ED"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29.57</w:t>
            </w:r>
          </w:p>
        </w:tc>
        <w:tc>
          <w:tcPr>
            <w:tcW w:w="850" w:type="dxa"/>
            <w:tcBorders>
              <w:top w:val="nil"/>
              <w:left w:val="nil"/>
              <w:bottom w:val="single" w:sz="4" w:space="0" w:color="auto"/>
              <w:right w:val="single" w:sz="4" w:space="0" w:color="auto"/>
            </w:tcBorders>
            <w:noWrap/>
            <w:vAlign w:val="center"/>
            <w:hideMark/>
          </w:tcPr>
          <w:p w14:paraId="1D3474E5"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45.95</w:t>
            </w:r>
          </w:p>
        </w:tc>
        <w:tc>
          <w:tcPr>
            <w:tcW w:w="851" w:type="dxa"/>
            <w:tcBorders>
              <w:top w:val="nil"/>
              <w:left w:val="nil"/>
              <w:bottom w:val="single" w:sz="4" w:space="0" w:color="auto"/>
              <w:right w:val="single" w:sz="4" w:space="0" w:color="auto"/>
            </w:tcBorders>
            <w:noWrap/>
            <w:vAlign w:val="center"/>
            <w:hideMark/>
          </w:tcPr>
          <w:p w14:paraId="007526B9"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40.46</w:t>
            </w:r>
          </w:p>
        </w:tc>
        <w:tc>
          <w:tcPr>
            <w:tcW w:w="850" w:type="dxa"/>
            <w:tcBorders>
              <w:top w:val="nil"/>
              <w:left w:val="nil"/>
              <w:bottom w:val="single" w:sz="4" w:space="0" w:color="auto"/>
              <w:right w:val="single" w:sz="4" w:space="0" w:color="auto"/>
            </w:tcBorders>
            <w:noWrap/>
            <w:vAlign w:val="center"/>
            <w:hideMark/>
          </w:tcPr>
          <w:p w14:paraId="295B3D28"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62.23</w:t>
            </w:r>
          </w:p>
        </w:tc>
        <w:tc>
          <w:tcPr>
            <w:tcW w:w="992" w:type="dxa"/>
            <w:tcBorders>
              <w:top w:val="nil"/>
              <w:left w:val="nil"/>
              <w:bottom w:val="single" w:sz="4" w:space="0" w:color="auto"/>
              <w:right w:val="single" w:sz="4" w:space="0" w:color="auto"/>
            </w:tcBorders>
            <w:noWrap/>
            <w:vAlign w:val="center"/>
            <w:hideMark/>
          </w:tcPr>
          <w:p w14:paraId="2C45F8FB"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63.55</w:t>
            </w:r>
          </w:p>
        </w:tc>
        <w:tc>
          <w:tcPr>
            <w:tcW w:w="993" w:type="dxa"/>
            <w:gridSpan w:val="2"/>
            <w:tcBorders>
              <w:top w:val="nil"/>
              <w:left w:val="nil"/>
              <w:bottom w:val="single" w:sz="4" w:space="0" w:color="auto"/>
              <w:right w:val="single" w:sz="4" w:space="0" w:color="auto"/>
            </w:tcBorders>
            <w:noWrap/>
            <w:vAlign w:val="center"/>
            <w:hideMark/>
          </w:tcPr>
          <w:p w14:paraId="136D852C"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55.39</w:t>
            </w:r>
          </w:p>
        </w:tc>
        <w:tc>
          <w:tcPr>
            <w:tcW w:w="936" w:type="dxa"/>
            <w:tcBorders>
              <w:top w:val="nil"/>
              <w:left w:val="nil"/>
              <w:bottom w:val="single" w:sz="4" w:space="0" w:color="auto"/>
              <w:right w:val="single" w:sz="4" w:space="0" w:color="auto"/>
            </w:tcBorders>
            <w:noWrap/>
            <w:vAlign w:val="center"/>
            <w:hideMark/>
          </w:tcPr>
          <w:p w14:paraId="6B9AABDB"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-11.95</w:t>
            </w:r>
          </w:p>
        </w:tc>
        <w:tc>
          <w:tcPr>
            <w:tcW w:w="821" w:type="dxa"/>
            <w:tcBorders>
              <w:top w:val="nil"/>
              <w:left w:val="nil"/>
              <w:bottom w:val="single" w:sz="4" w:space="0" w:color="auto"/>
              <w:right w:val="single" w:sz="4" w:space="0" w:color="auto"/>
            </w:tcBorders>
            <w:noWrap/>
            <w:vAlign w:val="center"/>
            <w:hideMark/>
          </w:tcPr>
          <w:p w14:paraId="27BFE1F7"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53.81</w:t>
            </w:r>
          </w:p>
        </w:tc>
      </w:tr>
      <w:tr w:rsidR="002C05B7" w:rsidRPr="002C05B7" w14:paraId="69A6E7CB" w14:textId="77777777" w:rsidTr="002C05B7">
        <w:trPr>
          <w:trHeight w:val="300"/>
        </w:trPr>
        <w:tc>
          <w:tcPr>
            <w:tcW w:w="540" w:type="dxa"/>
            <w:tcBorders>
              <w:top w:val="nil"/>
              <w:left w:val="single" w:sz="4" w:space="0" w:color="auto"/>
              <w:bottom w:val="single" w:sz="4" w:space="0" w:color="auto"/>
              <w:right w:val="single" w:sz="4" w:space="0" w:color="auto"/>
            </w:tcBorders>
            <w:noWrap/>
            <w:vAlign w:val="bottom"/>
            <w:hideMark/>
          </w:tcPr>
          <w:p w14:paraId="1D744B83"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 </w:t>
            </w:r>
          </w:p>
        </w:tc>
        <w:tc>
          <w:tcPr>
            <w:tcW w:w="3005" w:type="dxa"/>
            <w:tcBorders>
              <w:top w:val="nil"/>
              <w:left w:val="nil"/>
              <w:bottom w:val="single" w:sz="4" w:space="0" w:color="auto"/>
              <w:right w:val="single" w:sz="4" w:space="0" w:color="auto"/>
            </w:tcBorders>
            <w:noWrap/>
            <w:vAlign w:val="bottom"/>
            <w:hideMark/>
          </w:tcPr>
          <w:p w14:paraId="11819C50" w14:textId="77777777" w:rsidR="002C05B7" w:rsidRPr="002C05B7" w:rsidRDefault="002C05B7" w:rsidP="002C05B7">
            <w:pPr>
              <w:spacing w:after="0" w:line="240" w:lineRule="auto"/>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Share in total import</w:t>
            </w:r>
          </w:p>
        </w:tc>
        <w:tc>
          <w:tcPr>
            <w:tcW w:w="850" w:type="dxa"/>
            <w:tcBorders>
              <w:top w:val="nil"/>
              <w:left w:val="nil"/>
              <w:bottom w:val="single" w:sz="4" w:space="0" w:color="auto"/>
              <w:right w:val="single" w:sz="4" w:space="0" w:color="auto"/>
            </w:tcBorders>
            <w:noWrap/>
            <w:vAlign w:val="center"/>
            <w:hideMark/>
          </w:tcPr>
          <w:p w14:paraId="3456539F"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2.86</w:t>
            </w:r>
          </w:p>
        </w:tc>
        <w:tc>
          <w:tcPr>
            <w:tcW w:w="851" w:type="dxa"/>
            <w:tcBorders>
              <w:top w:val="nil"/>
              <w:left w:val="nil"/>
              <w:bottom w:val="single" w:sz="4" w:space="0" w:color="auto"/>
              <w:right w:val="single" w:sz="4" w:space="0" w:color="auto"/>
            </w:tcBorders>
            <w:noWrap/>
            <w:vAlign w:val="center"/>
            <w:hideMark/>
          </w:tcPr>
          <w:p w14:paraId="6ED2DB31"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1.57</w:t>
            </w:r>
          </w:p>
        </w:tc>
        <w:tc>
          <w:tcPr>
            <w:tcW w:w="850" w:type="dxa"/>
            <w:tcBorders>
              <w:top w:val="nil"/>
              <w:left w:val="nil"/>
              <w:bottom w:val="single" w:sz="4" w:space="0" w:color="auto"/>
              <w:right w:val="single" w:sz="4" w:space="0" w:color="auto"/>
            </w:tcBorders>
            <w:noWrap/>
            <w:vAlign w:val="center"/>
            <w:hideMark/>
          </w:tcPr>
          <w:p w14:paraId="2A2FDE3D"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1.82</w:t>
            </w:r>
          </w:p>
        </w:tc>
        <w:tc>
          <w:tcPr>
            <w:tcW w:w="851" w:type="dxa"/>
            <w:tcBorders>
              <w:top w:val="nil"/>
              <w:left w:val="nil"/>
              <w:bottom w:val="single" w:sz="4" w:space="0" w:color="auto"/>
              <w:right w:val="single" w:sz="4" w:space="0" w:color="auto"/>
            </w:tcBorders>
            <w:noWrap/>
            <w:vAlign w:val="center"/>
            <w:hideMark/>
          </w:tcPr>
          <w:p w14:paraId="096D9252"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1.67</w:t>
            </w:r>
          </w:p>
        </w:tc>
        <w:tc>
          <w:tcPr>
            <w:tcW w:w="850" w:type="dxa"/>
            <w:tcBorders>
              <w:top w:val="nil"/>
              <w:left w:val="nil"/>
              <w:bottom w:val="single" w:sz="4" w:space="0" w:color="auto"/>
              <w:right w:val="single" w:sz="4" w:space="0" w:color="auto"/>
            </w:tcBorders>
            <w:noWrap/>
            <w:vAlign w:val="center"/>
            <w:hideMark/>
          </w:tcPr>
          <w:p w14:paraId="4B930431"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2.97</w:t>
            </w:r>
          </w:p>
        </w:tc>
        <w:tc>
          <w:tcPr>
            <w:tcW w:w="992" w:type="dxa"/>
            <w:tcBorders>
              <w:top w:val="nil"/>
              <w:left w:val="nil"/>
              <w:bottom w:val="single" w:sz="4" w:space="0" w:color="auto"/>
              <w:right w:val="single" w:sz="4" w:space="0" w:color="auto"/>
            </w:tcBorders>
            <w:noWrap/>
            <w:vAlign w:val="center"/>
            <w:hideMark/>
          </w:tcPr>
          <w:p w14:paraId="6214B2AD"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993" w:type="dxa"/>
            <w:gridSpan w:val="2"/>
            <w:tcBorders>
              <w:top w:val="nil"/>
              <w:left w:val="nil"/>
              <w:bottom w:val="single" w:sz="4" w:space="0" w:color="auto"/>
              <w:right w:val="single" w:sz="4" w:space="0" w:color="auto"/>
            </w:tcBorders>
            <w:noWrap/>
            <w:vAlign w:val="center"/>
            <w:hideMark/>
          </w:tcPr>
          <w:p w14:paraId="4F177FBF"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936" w:type="dxa"/>
            <w:tcBorders>
              <w:top w:val="nil"/>
              <w:left w:val="nil"/>
              <w:bottom w:val="single" w:sz="4" w:space="0" w:color="auto"/>
              <w:right w:val="single" w:sz="4" w:space="0" w:color="auto"/>
            </w:tcBorders>
            <w:noWrap/>
            <w:vAlign w:val="center"/>
            <w:hideMark/>
          </w:tcPr>
          <w:p w14:paraId="538CA79D"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821" w:type="dxa"/>
            <w:tcBorders>
              <w:top w:val="nil"/>
              <w:left w:val="nil"/>
              <w:bottom w:val="single" w:sz="4" w:space="0" w:color="auto"/>
              <w:right w:val="single" w:sz="4" w:space="0" w:color="auto"/>
            </w:tcBorders>
            <w:noWrap/>
            <w:vAlign w:val="center"/>
            <w:hideMark/>
          </w:tcPr>
          <w:p w14:paraId="56071B15"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r>
      <w:tr w:rsidR="002C05B7" w:rsidRPr="002C05B7" w14:paraId="70EA3121" w14:textId="77777777" w:rsidTr="002C05B7">
        <w:trPr>
          <w:trHeight w:val="285"/>
        </w:trPr>
        <w:tc>
          <w:tcPr>
            <w:tcW w:w="540" w:type="dxa"/>
            <w:tcBorders>
              <w:top w:val="nil"/>
              <w:left w:val="single" w:sz="4" w:space="0" w:color="auto"/>
              <w:bottom w:val="single" w:sz="4" w:space="0" w:color="auto"/>
              <w:right w:val="single" w:sz="4" w:space="0" w:color="auto"/>
            </w:tcBorders>
            <w:noWrap/>
            <w:vAlign w:val="bottom"/>
            <w:hideMark/>
          </w:tcPr>
          <w:p w14:paraId="4317378E"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6</w:t>
            </w:r>
          </w:p>
        </w:tc>
        <w:tc>
          <w:tcPr>
            <w:tcW w:w="3005" w:type="dxa"/>
            <w:tcBorders>
              <w:top w:val="nil"/>
              <w:left w:val="nil"/>
              <w:bottom w:val="single" w:sz="4" w:space="0" w:color="auto"/>
              <w:right w:val="single" w:sz="4" w:space="0" w:color="auto"/>
            </w:tcBorders>
            <w:noWrap/>
            <w:vAlign w:val="bottom"/>
            <w:hideMark/>
          </w:tcPr>
          <w:p w14:paraId="6CBB1022" w14:textId="77777777" w:rsidR="002C05B7" w:rsidRPr="002C05B7" w:rsidRDefault="002C05B7" w:rsidP="002C05B7">
            <w:pPr>
              <w:spacing w:after="0" w:line="240" w:lineRule="auto"/>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CASHEW</w:t>
            </w:r>
          </w:p>
        </w:tc>
        <w:tc>
          <w:tcPr>
            <w:tcW w:w="850" w:type="dxa"/>
            <w:tcBorders>
              <w:top w:val="nil"/>
              <w:left w:val="nil"/>
              <w:bottom w:val="single" w:sz="4" w:space="0" w:color="auto"/>
              <w:right w:val="single" w:sz="4" w:space="0" w:color="auto"/>
            </w:tcBorders>
            <w:noWrap/>
            <w:vAlign w:val="center"/>
            <w:hideMark/>
          </w:tcPr>
          <w:p w14:paraId="5F66E87A"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23.28</w:t>
            </w:r>
          </w:p>
        </w:tc>
        <w:tc>
          <w:tcPr>
            <w:tcW w:w="851" w:type="dxa"/>
            <w:tcBorders>
              <w:top w:val="nil"/>
              <w:left w:val="nil"/>
              <w:bottom w:val="single" w:sz="4" w:space="0" w:color="auto"/>
              <w:right w:val="single" w:sz="4" w:space="0" w:color="auto"/>
            </w:tcBorders>
            <w:noWrap/>
            <w:vAlign w:val="center"/>
            <w:hideMark/>
          </w:tcPr>
          <w:p w14:paraId="09F1818A"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47.85</w:t>
            </w:r>
          </w:p>
        </w:tc>
        <w:tc>
          <w:tcPr>
            <w:tcW w:w="850" w:type="dxa"/>
            <w:tcBorders>
              <w:top w:val="nil"/>
              <w:left w:val="nil"/>
              <w:bottom w:val="single" w:sz="4" w:space="0" w:color="auto"/>
              <w:right w:val="single" w:sz="4" w:space="0" w:color="auto"/>
            </w:tcBorders>
            <w:noWrap/>
            <w:vAlign w:val="center"/>
            <w:hideMark/>
          </w:tcPr>
          <w:p w14:paraId="11035038"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23.01</w:t>
            </w:r>
          </w:p>
        </w:tc>
        <w:tc>
          <w:tcPr>
            <w:tcW w:w="851" w:type="dxa"/>
            <w:tcBorders>
              <w:top w:val="nil"/>
              <w:left w:val="nil"/>
              <w:bottom w:val="single" w:sz="4" w:space="0" w:color="auto"/>
              <w:right w:val="single" w:sz="4" w:space="0" w:color="auto"/>
            </w:tcBorders>
            <w:noWrap/>
            <w:vAlign w:val="center"/>
            <w:hideMark/>
          </w:tcPr>
          <w:p w14:paraId="472939F4"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36.94</w:t>
            </w:r>
          </w:p>
        </w:tc>
        <w:tc>
          <w:tcPr>
            <w:tcW w:w="850" w:type="dxa"/>
            <w:tcBorders>
              <w:top w:val="nil"/>
              <w:left w:val="nil"/>
              <w:bottom w:val="single" w:sz="4" w:space="0" w:color="auto"/>
              <w:right w:val="single" w:sz="4" w:space="0" w:color="auto"/>
            </w:tcBorders>
            <w:noWrap/>
            <w:vAlign w:val="center"/>
            <w:hideMark/>
          </w:tcPr>
          <w:p w14:paraId="13A115AB"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59.02</w:t>
            </w:r>
          </w:p>
        </w:tc>
        <w:tc>
          <w:tcPr>
            <w:tcW w:w="992" w:type="dxa"/>
            <w:tcBorders>
              <w:top w:val="nil"/>
              <w:left w:val="nil"/>
              <w:bottom w:val="single" w:sz="4" w:space="0" w:color="auto"/>
              <w:right w:val="single" w:sz="4" w:space="0" w:color="auto"/>
            </w:tcBorders>
            <w:noWrap/>
            <w:vAlign w:val="center"/>
            <w:hideMark/>
          </w:tcPr>
          <w:p w14:paraId="25C8F44D"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105.54</w:t>
            </w:r>
          </w:p>
        </w:tc>
        <w:tc>
          <w:tcPr>
            <w:tcW w:w="993" w:type="dxa"/>
            <w:gridSpan w:val="2"/>
            <w:tcBorders>
              <w:top w:val="nil"/>
              <w:left w:val="nil"/>
              <w:bottom w:val="single" w:sz="4" w:space="0" w:color="auto"/>
              <w:right w:val="single" w:sz="4" w:space="0" w:color="auto"/>
            </w:tcBorders>
            <w:noWrap/>
            <w:vAlign w:val="center"/>
            <w:hideMark/>
          </w:tcPr>
          <w:p w14:paraId="2950E3C6"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-51.91</w:t>
            </w:r>
          </w:p>
        </w:tc>
        <w:tc>
          <w:tcPr>
            <w:tcW w:w="936" w:type="dxa"/>
            <w:tcBorders>
              <w:top w:val="nil"/>
              <w:left w:val="nil"/>
              <w:bottom w:val="single" w:sz="4" w:space="0" w:color="auto"/>
              <w:right w:val="single" w:sz="4" w:space="0" w:color="auto"/>
            </w:tcBorders>
            <w:noWrap/>
            <w:vAlign w:val="center"/>
            <w:hideMark/>
          </w:tcPr>
          <w:p w14:paraId="1F3EE671"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60.54</w:t>
            </w:r>
          </w:p>
        </w:tc>
        <w:tc>
          <w:tcPr>
            <w:tcW w:w="821" w:type="dxa"/>
            <w:tcBorders>
              <w:top w:val="nil"/>
              <w:left w:val="nil"/>
              <w:bottom w:val="single" w:sz="4" w:space="0" w:color="auto"/>
              <w:right w:val="single" w:sz="4" w:space="0" w:color="auto"/>
            </w:tcBorders>
            <w:noWrap/>
            <w:vAlign w:val="center"/>
            <w:hideMark/>
          </w:tcPr>
          <w:p w14:paraId="4B1B49C7"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59.77</w:t>
            </w:r>
          </w:p>
        </w:tc>
      </w:tr>
      <w:tr w:rsidR="002C05B7" w:rsidRPr="002C05B7" w14:paraId="2A6BBE2D" w14:textId="77777777" w:rsidTr="002C05B7">
        <w:trPr>
          <w:trHeight w:val="300"/>
        </w:trPr>
        <w:tc>
          <w:tcPr>
            <w:tcW w:w="540" w:type="dxa"/>
            <w:tcBorders>
              <w:top w:val="nil"/>
              <w:left w:val="single" w:sz="4" w:space="0" w:color="auto"/>
              <w:bottom w:val="single" w:sz="4" w:space="0" w:color="auto"/>
              <w:right w:val="single" w:sz="4" w:space="0" w:color="auto"/>
            </w:tcBorders>
            <w:noWrap/>
            <w:vAlign w:val="bottom"/>
            <w:hideMark/>
          </w:tcPr>
          <w:p w14:paraId="636BB706"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 </w:t>
            </w:r>
          </w:p>
        </w:tc>
        <w:tc>
          <w:tcPr>
            <w:tcW w:w="3005" w:type="dxa"/>
            <w:tcBorders>
              <w:top w:val="nil"/>
              <w:left w:val="nil"/>
              <w:bottom w:val="single" w:sz="4" w:space="0" w:color="auto"/>
              <w:right w:val="single" w:sz="4" w:space="0" w:color="auto"/>
            </w:tcBorders>
            <w:noWrap/>
            <w:vAlign w:val="bottom"/>
            <w:hideMark/>
          </w:tcPr>
          <w:p w14:paraId="36593AB8" w14:textId="77777777" w:rsidR="002C05B7" w:rsidRPr="002C05B7" w:rsidRDefault="002C05B7" w:rsidP="002C05B7">
            <w:pPr>
              <w:spacing w:after="0" w:line="240" w:lineRule="auto"/>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Share in total import</w:t>
            </w:r>
          </w:p>
        </w:tc>
        <w:tc>
          <w:tcPr>
            <w:tcW w:w="850" w:type="dxa"/>
            <w:tcBorders>
              <w:top w:val="nil"/>
              <w:left w:val="nil"/>
              <w:bottom w:val="single" w:sz="4" w:space="0" w:color="auto"/>
              <w:right w:val="single" w:sz="4" w:space="0" w:color="auto"/>
            </w:tcBorders>
            <w:noWrap/>
            <w:vAlign w:val="center"/>
            <w:hideMark/>
          </w:tcPr>
          <w:p w14:paraId="182E8102"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3.69</w:t>
            </w:r>
          </w:p>
        </w:tc>
        <w:tc>
          <w:tcPr>
            <w:tcW w:w="851" w:type="dxa"/>
            <w:tcBorders>
              <w:top w:val="nil"/>
              <w:left w:val="nil"/>
              <w:bottom w:val="single" w:sz="4" w:space="0" w:color="auto"/>
              <w:right w:val="single" w:sz="4" w:space="0" w:color="auto"/>
            </w:tcBorders>
            <w:noWrap/>
            <w:vAlign w:val="center"/>
            <w:hideMark/>
          </w:tcPr>
          <w:p w14:paraId="4B17ED3D"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2.55</w:t>
            </w:r>
          </w:p>
        </w:tc>
        <w:tc>
          <w:tcPr>
            <w:tcW w:w="850" w:type="dxa"/>
            <w:tcBorders>
              <w:top w:val="nil"/>
              <w:left w:val="nil"/>
              <w:bottom w:val="single" w:sz="4" w:space="0" w:color="auto"/>
              <w:right w:val="single" w:sz="4" w:space="0" w:color="auto"/>
            </w:tcBorders>
            <w:noWrap/>
            <w:vAlign w:val="center"/>
            <w:hideMark/>
          </w:tcPr>
          <w:p w14:paraId="6FF509E2"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0.91</w:t>
            </w:r>
          </w:p>
        </w:tc>
        <w:tc>
          <w:tcPr>
            <w:tcW w:w="851" w:type="dxa"/>
            <w:tcBorders>
              <w:top w:val="nil"/>
              <w:left w:val="nil"/>
              <w:bottom w:val="single" w:sz="4" w:space="0" w:color="auto"/>
              <w:right w:val="single" w:sz="4" w:space="0" w:color="auto"/>
            </w:tcBorders>
            <w:noWrap/>
            <w:vAlign w:val="center"/>
            <w:hideMark/>
          </w:tcPr>
          <w:p w14:paraId="2689234E"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1.53</w:t>
            </w:r>
          </w:p>
        </w:tc>
        <w:tc>
          <w:tcPr>
            <w:tcW w:w="850" w:type="dxa"/>
            <w:tcBorders>
              <w:top w:val="nil"/>
              <w:left w:val="nil"/>
              <w:bottom w:val="single" w:sz="4" w:space="0" w:color="auto"/>
              <w:right w:val="single" w:sz="4" w:space="0" w:color="auto"/>
            </w:tcBorders>
            <w:noWrap/>
            <w:vAlign w:val="center"/>
            <w:hideMark/>
          </w:tcPr>
          <w:p w14:paraId="761C3914"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2.81</w:t>
            </w:r>
          </w:p>
        </w:tc>
        <w:tc>
          <w:tcPr>
            <w:tcW w:w="992" w:type="dxa"/>
            <w:tcBorders>
              <w:top w:val="nil"/>
              <w:left w:val="nil"/>
              <w:bottom w:val="single" w:sz="4" w:space="0" w:color="auto"/>
              <w:right w:val="single" w:sz="4" w:space="0" w:color="auto"/>
            </w:tcBorders>
            <w:noWrap/>
            <w:vAlign w:val="center"/>
            <w:hideMark/>
          </w:tcPr>
          <w:p w14:paraId="33C6BAFD"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993" w:type="dxa"/>
            <w:gridSpan w:val="2"/>
            <w:tcBorders>
              <w:top w:val="nil"/>
              <w:left w:val="nil"/>
              <w:bottom w:val="single" w:sz="4" w:space="0" w:color="auto"/>
              <w:right w:val="single" w:sz="4" w:space="0" w:color="auto"/>
            </w:tcBorders>
            <w:noWrap/>
            <w:vAlign w:val="center"/>
            <w:hideMark/>
          </w:tcPr>
          <w:p w14:paraId="6A004629"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936" w:type="dxa"/>
            <w:tcBorders>
              <w:top w:val="nil"/>
              <w:left w:val="nil"/>
              <w:bottom w:val="single" w:sz="4" w:space="0" w:color="auto"/>
              <w:right w:val="single" w:sz="4" w:space="0" w:color="auto"/>
            </w:tcBorders>
            <w:noWrap/>
            <w:vAlign w:val="center"/>
            <w:hideMark/>
          </w:tcPr>
          <w:p w14:paraId="27909353"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821" w:type="dxa"/>
            <w:tcBorders>
              <w:top w:val="nil"/>
              <w:left w:val="nil"/>
              <w:bottom w:val="single" w:sz="4" w:space="0" w:color="auto"/>
              <w:right w:val="single" w:sz="4" w:space="0" w:color="auto"/>
            </w:tcBorders>
            <w:noWrap/>
            <w:vAlign w:val="center"/>
            <w:hideMark/>
          </w:tcPr>
          <w:p w14:paraId="7070975D"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r>
      <w:tr w:rsidR="002C05B7" w:rsidRPr="002C05B7" w14:paraId="191215E6" w14:textId="77777777" w:rsidTr="002C05B7">
        <w:trPr>
          <w:trHeight w:val="285"/>
        </w:trPr>
        <w:tc>
          <w:tcPr>
            <w:tcW w:w="540" w:type="dxa"/>
            <w:tcBorders>
              <w:top w:val="nil"/>
              <w:left w:val="single" w:sz="4" w:space="0" w:color="auto"/>
              <w:bottom w:val="single" w:sz="4" w:space="0" w:color="auto"/>
              <w:right w:val="single" w:sz="4" w:space="0" w:color="auto"/>
            </w:tcBorders>
            <w:noWrap/>
            <w:vAlign w:val="bottom"/>
            <w:hideMark/>
          </w:tcPr>
          <w:p w14:paraId="026B93B3"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7</w:t>
            </w:r>
          </w:p>
        </w:tc>
        <w:tc>
          <w:tcPr>
            <w:tcW w:w="3005" w:type="dxa"/>
            <w:tcBorders>
              <w:top w:val="nil"/>
              <w:left w:val="nil"/>
              <w:bottom w:val="single" w:sz="4" w:space="0" w:color="auto"/>
              <w:right w:val="single" w:sz="4" w:space="0" w:color="auto"/>
            </w:tcBorders>
            <w:noWrap/>
            <w:vAlign w:val="bottom"/>
            <w:hideMark/>
          </w:tcPr>
          <w:p w14:paraId="740DFB36" w14:textId="77777777" w:rsidR="002C05B7" w:rsidRPr="002C05B7" w:rsidRDefault="002C05B7" w:rsidP="002C05B7">
            <w:pPr>
              <w:spacing w:after="0" w:line="240" w:lineRule="auto"/>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PROCESSED MINERALS</w:t>
            </w:r>
          </w:p>
        </w:tc>
        <w:tc>
          <w:tcPr>
            <w:tcW w:w="850" w:type="dxa"/>
            <w:tcBorders>
              <w:top w:val="nil"/>
              <w:left w:val="nil"/>
              <w:bottom w:val="single" w:sz="4" w:space="0" w:color="auto"/>
              <w:right w:val="single" w:sz="4" w:space="0" w:color="auto"/>
            </w:tcBorders>
            <w:noWrap/>
            <w:vAlign w:val="center"/>
            <w:hideMark/>
          </w:tcPr>
          <w:p w14:paraId="576B47DF"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13.19</w:t>
            </w:r>
          </w:p>
        </w:tc>
        <w:tc>
          <w:tcPr>
            <w:tcW w:w="851" w:type="dxa"/>
            <w:tcBorders>
              <w:top w:val="nil"/>
              <w:left w:val="nil"/>
              <w:bottom w:val="single" w:sz="4" w:space="0" w:color="auto"/>
              <w:right w:val="single" w:sz="4" w:space="0" w:color="auto"/>
            </w:tcBorders>
            <w:noWrap/>
            <w:vAlign w:val="center"/>
            <w:hideMark/>
          </w:tcPr>
          <w:p w14:paraId="49B10D27"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25.77</w:t>
            </w:r>
          </w:p>
        </w:tc>
        <w:tc>
          <w:tcPr>
            <w:tcW w:w="850" w:type="dxa"/>
            <w:tcBorders>
              <w:top w:val="nil"/>
              <w:left w:val="nil"/>
              <w:bottom w:val="single" w:sz="4" w:space="0" w:color="auto"/>
              <w:right w:val="single" w:sz="4" w:space="0" w:color="auto"/>
            </w:tcBorders>
            <w:noWrap/>
            <w:vAlign w:val="center"/>
            <w:hideMark/>
          </w:tcPr>
          <w:p w14:paraId="28527486"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17.48</w:t>
            </w:r>
          </w:p>
        </w:tc>
        <w:tc>
          <w:tcPr>
            <w:tcW w:w="851" w:type="dxa"/>
            <w:tcBorders>
              <w:top w:val="nil"/>
              <w:left w:val="nil"/>
              <w:bottom w:val="single" w:sz="4" w:space="0" w:color="auto"/>
              <w:right w:val="single" w:sz="4" w:space="0" w:color="auto"/>
            </w:tcBorders>
            <w:noWrap/>
            <w:vAlign w:val="center"/>
            <w:hideMark/>
          </w:tcPr>
          <w:p w14:paraId="7E4D0CF8"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20.54</w:t>
            </w:r>
          </w:p>
        </w:tc>
        <w:tc>
          <w:tcPr>
            <w:tcW w:w="850" w:type="dxa"/>
            <w:tcBorders>
              <w:top w:val="nil"/>
              <w:left w:val="nil"/>
              <w:bottom w:val="single" w:sz="4" w:space="0" w:color="auto"/>
              <w:right w:val="single" w:sz="4" w:space="0" w:color="auto"/>
            </w:tcBorders>
            <w:noWrap/>
            <w:vAlign w:val="center"/>
            <w:hideMark/>
          </w:tcPr>
          <w:p w14:paraId="6CF7938E"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22.89</w:t>
            </w:r>
          </w:p>
        </w:tc>
        <w:tc>
          <w:tcPr>
            <w:tcW w:w="992" w:type="dxa"/>
            <w:tcBorders>
              <w:top w:val="nil"/>
              <w:left w:val="nil"/>
              <w:bottom w:val="single" w:sz="4" w:space="0" w:color="auto"/>
              <w:right w:val="single" w:sz="4" w:space="0" w:color="auto"/>
            </w:tcBorders>
            <w:noWrap/>
            <w:vAlign w:val="center"/>
            <w:hideMark/>
          </w:tcPr>
          <w:p w14:paraId="70E4AC63"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95.38</w:t>
            </w:r>
          </w:p>
        </w:tc>
        <w:tc>
          <w:tcPr>
            <w:tcW w:w="993" w:type="dxa"/>
            <w:gridSpan w:val="2"/>
            <w:tcBorders>
              <w:top w:val="nil"/>
              <w:left w:val="nil"/>
              <w:bottom w:val="single" w:sz="4" w:space="0" w:color="auto"/>
              <w:right w:val="single" w:sz="4" w:space="0" w:color="auto"/>
            </w:tcBorders>
            <w:noWrap/>
            <w:vAlign w:val="center"/>
            <w:hideMark/>
          </w:tcPr>
          <w:p w14:paraId="0FB65145"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-32.17</w:t>
            </w:r>
          </w:p>
        </w:tc>
        <w:tc>
          <w:tcPr>
            <w:tcW w:w="936" w:type="dxa"/>
            <w:tcBorders>
              <w:top w:val="nil"/>
              <w:left w:val="nil"/>
              <w:bottom w:val="single" w:sz="4" w:space="0" w:color="auto"/>
              <w:right w:val="single" w:sz="4" w:space="0" w:color="auto"/>
            </w:tcBorders>
            <w:noWrap/>
            <w:vAlign w:val="center"/>
            <w:hideMark/>
          </w:tcPr>
          <w:p w14:paraId="60588EEB"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17.51</w:t>
            </w:r>
          </w:p>
        </w:tc>
        <w:tc>
          <w:tcPr>
            <w:tcW w:w="821" w:type="dxa"/>
            <w:tcBorders>
              <w:top w:val="nil"/>
              <w:left w:val="nil"/>
              <w:bottom w:val="single" w:sz="4" w:space="0" w:color="auto"/>
              <w:right w:val="single" w:sz="4" w:space="0" w:color="auto"/>
            </w:tcBorders>
            <w:noWrap/>
            <w:vAlign w:val="center"/>
            <w:hideMark/>
          </w:tcPr>
          <w:p w14:paraId="406FB8D2"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11.43</w:t>
            </w:r>
          </w:p>
        </w:tc>
      </w:tr>
      <w:tr w:rsidR="002C05B7" w:rsidRPr="002C05B7" w14:paraId="1863AE64" w14:textId="77777777" w:rsidTr="002C05B7">
        <w:trPr>
          <w:trHeight w:val="300"/>
        </w:trPr>
        <w:tc>
          <w:tcPr>
            <w:tcW w:w="540" w:type="dxa"/>
            <w:tcBorders>
              <w:top w:val="nil"/>
              <w:left w:val="single" w:sz="4" w:space="0" w:color="auto"/>
              <w:bottom w:val="single" w:sz="4" w:space="0" w:color="auto"/>
              <w:right w:val="single" w:sz="4" w:space="0" w:color="auto"/>
            </w:tcBorders>
            <w:noWrap/>
            <w:vAlign w:val="bottom"/>
            <w:hideMark/>
          </w:tcPr>
          <w:p w14:paraId="65DEE893"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 </w:t>
            </w:r>
          </w:p>
        </w:tc>
        <w:tc>
          <w:tcPr>
            <w:tcW w:w="3005" w:type="dxa"/>
            <w:tcBorders>
              <w:top w:val="nil"/>
              <w:left w:val="nil"/>
              <w:bottom w:val="single" w:sz="4" w:space="0" w:color="auto"/>
              <w:right w:val="single" w:sz="4" w:space="0" w:color="auto"/>
            </w:tcBorders>
            <w:noWrap/>
            <w:vAlign w:val="bottom"/>
            <w:hideMark/>
          </w:tcPr>
          <w:p w14:paraId="338D4F4E" w14:textId="77777777" w:rsidR="002C05B7" w:rsidRPr="002C05B7" w:rsidRDefault="002C05B7" w:rsidP="002C05B7">
            <w:pPr>
              <w:spacing w:after="0" w:line="240" w:lineRule="auto"/>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Share in total import</w:t>
            </w:r>
          </w:p>
        </w:tc>
        <w:tc>
          <w:tcPr>
            <w:tcW w:w="850" w:type="dxa"/>
            <w:tcBorders>
              <w:top w:val="nil"/>
              <w:left w:val="nil"/>
              <w:bottom w:val="single" w:sz="4" w:space="0" w:color="auto"/>
              <w:right w:val="single" w:sz="4" w:space="0" w:color="auto"/>
            </w:tcBorders>
            <w:noWrap/>
            <w:vAlign w:val="center"/>
            <w:hideMark/>
          </w:tcPr>
          <w:p w14:paraId="4F283F7F"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2.09</w:t>
            </w:r>
          </w:p>
        </w:tc>
        <w:tc>
          <w:tcPr>
            <w:tcW w:w="851" w:type="dxa"/>
            <w:tcBorders>
              <w:top w:val="nil"/>
              <w:left w:val="nil"/>
              <w:bottom w:val="single" w:sz="4" w:space="0" w:color="auto"/>
              <w:right w:val="single" w:sz="4" w:space="0" w:color="auto"/>
            </w:tcBorders>
            <w:noWrap/>
            <w:vAlign w:val="center"/>
            <w:hideMark/>
          </w:tcPr>
          <w:p w14:paraId="5618D502"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1.37</w:t>
            </w:r>
          </w:p>
        </w:tc>
        <w:tc>
          <w:tcPr>
            <w:tcW w:w="850" w:type="dxa"/>
            <w:tcBorders>
              <w:top w:val="nil"/>
              <w:left w:val="nil"/>
              <w:bottom w:val="single" w:sz="4" w:space="0" w:color="auto"/>
              <w:right w:val="single" w:sz="4" w:space="0" w:color="auto"/>
            </w:tcBorders>
            <w:noWrap/>
            <w:vAlign w:val="center"/>
            <w:hideMark/>
          </w:tcPr>
          <w:p w14:paraId="11B0A0D2"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0.69</w:t>
            </w:r>
          </w:p>
        </w:tc>
        <w:tc>
          <w:tcPr>
            <w:tcW w:w="851" w:type="dxa"/>
            <w:tcBorders>
              <w:top w:val="nil"/>
              <w:left w:val="nil"/>
              <w:bottom w:val="single" w:sz="4" w:space="0" w:color="auto"/>
              <w:right w:val="single" w:sz="4" w:space="0" w:color="auto"/>
            </w:tcBorders>
            <w:noWrap/>
            <w:vAlign w:val="center"/>
            <w:hideMark/>
          </w:tcPr>
          <w:p w14:paraId="40164BC4"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0.85</w:t>
            </w:r>
          </w:p>
        </w:tc>
        <w:tc>
          <w:tcPr>
            <w:tcW w:w="850" w:type="dxa"/>
            <w:tcBorders>
              <w:top w:val="nil"/>
              <w:left w:val="nil"/>
              <w:bottom w:val="single" w:sz="4" w:space="0" w:color="auto"/>
              <w:right w:val="single" w:sz="4" w:space="0" w:color="auto"/>
            </w:tcBorders>
            <w:noWrap/>
            <w:vAlign w:val="center"/>
            <w:hideMark/>
          </w:tcPr>
          <w:p w14:paraId="32656FE0"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1.09</w:t>
            </w:r>
          </w:p>
        </w:tc>
        <w:tc>
          <w:tcPr>
            <w:tcW w:w="992" w:type="dxa"/>
            <w:tcBorders>
              <w:top w:val="nil"/>
              <w:left w:val="nil"/>
              <w:bottom w:val="single" w:sz="4" w:space="0" w:color="auto"/>
              <w:right w:val="single" w:sz="4" w:space="0" w:color="auto"/>
            </w:tcBorders>
            <w:noWrap/>
            <w:vAlign w:val="center"/>
            <w:hideMark/>
          </w:tcPr>
          <w:p w14:paraId="7881BDC3"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993" w:type="dxa"/>
            <w:gridSpan w:val="2"/>
            <w:tcBorders>
              <w:top w:val="nil"/>
              <w:left w:val="nil"/>
              <w:bottom w:val="single" w:sz="4" w:space="0" w:color="auto"/>
              <w:right w:val="single" w:sz="4" w:space="0" w:color="auto"/>
            </w:tcBorders>
            <w:noWrap/>
            <w:vAlign w:val="center"/>
            <w:hideMark/>
          </w:tcPr>
          <w:p w14:paraId="2459D66E"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936" w:type="dxa"/>
            <w:tcBorders>
              <w:top w:val="nil"/>
              <w:left w:val="nil"/>
              <w:bottom w:val="single" w:sz="4" w:space="0" w:color="auto"/>
              <w:right w:val="single" w:sz="4" w:space="0" w:color="auto"/>
            </w:tcBorders>
            <w:noWrap/>
            <w:vAlign w:val="center"/>
            <w:hideMark/>
          </w:tcPr>
          <w:p w14:paraId="258405B7"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821" w:type="dxa"/>
            <w:tcBorders>
              <w:top w:val="nil"/>
              <w:left w:val="nil"/>
              <w:bottom w:val="single" w:sz="4" w:space="0" w:color="auto"/>
              <w:right w:val="single" w:sz="4" w:space="0" w:color="auto"/>
            </w:tcBorders>
            <w:noWrap/>
            <w:vAlign w:val="center"/>
            <w:hideMark/>
          </w:tcPr>
          <w:p w14:paraId="54DC0975"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r>
      <w:tr w:rsidR="002C05B7" w:rsidRPr="002C05B7" w14:paraId="0C7ED386" w14:textId="77777777" w:rsidTr="002C05B7">
        <w:trPr>
          <w:trHeight w:val="285"/>
        </w:trPr>
        <w:tc>
          <w:tcPr>
            <w:tcW w:w="540" w:type="dxa"/>
            <w:tcBorders>
              <w:top w:val="nil"/>
              <w:left w:val="single" w:sz="4" w:space="0" w:color="auto"/>
              <w:bottom w:val="single" w:sz="4" w:space="0" w:color="auto"/>
              <w:right w:val="single" w:sz="4" w:space="0" w:color="auto"/>
            </w:tcBorders>
            <w:noWrap/>
            <w:vAlign w:val="bottom"/>
            <w:hideMark/>
          </w:tcPr>
          <w:p w14:paraId="4325E07C"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8</w:t>
            </w:r>
          </w:p>
        </w:tc>
        <w:tc>
          <w:tcPr>
            <w:tcW w:w="3005" w:type="dxa"/>
            <w:tcBorders>
              <w:top w:val="nil"/>
              <w:left w:val="nil"/>
              <w:bottom w:val="single" w:sz="4" w:space="0" w:color="auto"/>
              <w:right w:val="single" w:sz="4" w:space="0" w:color="auto"/>
            </w:tcBorders>
            <w:noWrap/>
            <w:vAlign w:val="bottom"/>
            <w:hideMark/>
          </w:tcPr>
          <w:p w14:paraId="1F21CAB1" w14:textId="77777777" w:rsidR="002C05B7" w:rsidRPr="002C05B7" w:rsidRDefault="002C05B7" w:rsidP="002C05B7">
            <w:pPr>
              <w:spacing w:after="0" w:line="240" w:lineRule="auto"/>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LEAD AND PRODUCTS MADE OF LED</w:t>
            </w:r>
          </w:p>
        </w:tc>
        <w:tc>
          <w:tcPr>
            <w:tcW w:w="850" w:type="dxa"/>
            <w:tcBorders>
              <w:top w:val="nil"/>
              <w:left w:val="nil"/>
              <w:bottom w:val="single" w:sz="4" w:space="0" w:color="auto"/>
              <w:right w:val="single" w:sz="4" w:space="0" w:color="auto"/>
            </w:tcBorders>
            <w:noWrap/>
            <w:vAlign w:val="center"/>
            <w:hideMark/>
          </w:tcPr>
          <w:p w14:paraId="6E69B360"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9.79</w:t>
            </w:r>
          </w:p>
        </w:tc>
        <w:tc>
          <w:tcPr>
            <w:tcW w:w="851" w:type="dxa"/>
            <w:tcBorders>
              <w:top w:val="nil"/>
              <w:left w:val="nil"/>
              <w:bottom w:val="single" w:sz="4" w:space="0" w:color="auto"/>
              <w:right w:val="single" w:sz="4" w:space="0" w:color="auto"/>
            </w:tcBorders>
            <w:noWrap/>
            <w:vAlign w:val="center"/>
            <w:hideMark/>
          </w:tcPr>
          <w:p w14:paraId="68136A3A"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11.22</w:t>
            </w:r>
          </w:p>
        </w:tc>
        <w:tc>
          <w:tcPr>
            <w:tcW w:w="850" w:type="dxa"/>
            <w:tcBorders>
              <w:top w:val="nil"/>
              <w:left w:val="nil"/>
              <w:bottom w:val="single" w:sz="4" w:space="0" w:color="auto"/>
              <w:right w:val="single" w:sz="4" w:space="0" w:color="auto"/>
            </w:tcBorders>
            <w:noWrap/>
            <w:vAlign w:val="center"/>
            <w:hideMark/>
          </w:tcPr>
          <w:p w14:paraId="4BDF12C1"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18.46</w:t>
            </w:r>
          </w:p>
        </w:tc>
        <w:tc>
          <w:tcPr>
            <w:tcW w:w="851" w:type="dxa"/>
            <w:tcBorders>
              <w:top w:val="nil"/>
              <w:left w:val="nil"/>
              <w:bottom w:val="single" w:sz="4" w:space="0" w:color="auto"/>
              <w:right w:val="single" w:sz="4" w:space="0" w:color="auto"/>
            </w:tcBorders>
            <w:noWrap/>
            <w:vAlign w:val="center"/>
            <w:hideMark/>
          </w:tcPr>
          <w:p w14:paraId="47DF4E3B"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11.78</w:t>
            </w:r>
          </w:p>
        </w:tc>
        <w:tc>
          <w:tcPr>
            <w:tcW w:w="850" w:type="dxa"/>
            <w:tcBorders>
              <w:top w:val="nil"/>
              <w:left w:val="nil"/>
              <w:bottom w:val="single" w:sz="4" w:space="0" w:color="auto"/>
              <w:right w:val="single" w:sz="4" w:space="0" w:color="auto"/>
            </w:tcBorders>
            <w:noWrap/>
            <w:vAlign w:val="center"/>
            <w:hideMark/>
          </w:tcPr>
          <w:p w14:paraId="5CC8F849"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15.27</w:t>
            </w:r>
          </w:p>
        </w:tc>
        <w:tc>
          <w:tcPr>
            <w:tcW w:w="992" w:type="dxa"/>
            <w:tcBorders>
              <w:top w:val="nil"/>
              <w:left w:val="nil"/>
              <w:bottom w:val="single" w:sz="4" w:space="0" w:color="auto"/>
              <w:right w:val="single" w:sz="4" w:space="0" w:color="auto"/>
            </w:tcBorders>
            <w:noWrap/>
            <w:vAlign w:val="center"/>
            <w:hideMark/>
          </w:tcPr>
          <w:p w14:paraId="24E9F3F8"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14.61</w:t>
            </w:r>
          </w:p>
        </w:tc>
        <w:tc>
          <w:tcPr>
            <w:tcW w:w="993" w:type="dxa"/>
            <w:gridSpan w:val="2"/>
            <w:tcBorders>
              <w:top w:val="nil"/>
              <w:left w:val="nil"/>
              <w:bottom w:val="single" w:sz="4" w:space="0" w:color="auto"/>
              <w:right w:val="single" w:sz="4" w:space="0" w:color="auto"/>
            </w:tcBorders>
            <w:noWrap/>
            <w:vAlign w:val="center"/>
            <w:hideMark/>
          </w:tcPr>
          <w:p w14:paraId="3E4136B4"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64.53</w:t>
            </w:r>
          </w:p>
        </w:tc>
        <w:tc>
          <w:tcPr>
            <w:tcW w:w="936" w:type="dxa"/>
            <w:tcBorders>
              <w:top w:val="nil"/>
              <w:left w:val="nil"/>
              <w:bottom w:val="single" w:sz="4" w:space="0" w:color="auto"/>
              <w:right w:val="single" w:sz="4" w:space="0" w:color="auto"/>
            </w:tcBorders>
            <w:noWrap/>
            <w:vAlign w:val="center"/>
            <w:hideMark/>
          </w:tcPr>
          <w:p w14:paraId="66DC6769"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-36.19</w:t>
            </w:r>
          </w:p>
        </w:tc>
        <w:tc>
          <w:tcPr>
            <w:tcW w:w="821" w:type="dxa"/>
            <w:tcBorders>
              <w:top w:val="nil"/>
              <w:left w:val="nil"/>
              <w:bottom w:val="single" w:sz="4" w:space="0" w:color="auto"/>
              <w:right w:val="single" w:sz="4" w:space="0" w:color="auto"/>
            </w:tcBorders>
            <w:noWrap/>
            <w:vAlign w:val="center"/>
            <w:hideMark/>
          </w:tcPr>
          <w:p w14:paraId="3078270C"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29.62</w:t>
            </w:r>
          </w:p>
        </w:tc>
      </w:tr>
      <w:tr w:rsidR="002C05B7" w:rsidRPr="002C05B7" w14:paraId="5618D607" w14:textId="77777777" w:rsidTr="002C05B7">
        <w:trPr>
          <w:trHeight w:val="300"/>
        </w:trPr>
        <w:tc>
          <w:tcPr>
            <w:tcW w:w="540" w:type="dxa"/>
            <w:tcBorders>
              <w:top w:val="nil"/>
              <w:left w:val="single" w:sz="4" w:space="0" w:color="auto"/>
              <w:bottom w:val="single" w:sz="4" w:space="0" w:color="auto"/>
              <w:right w:val="single" w:sz="4" w:space="0" w:color="auto"/>
            </w:tcBorders>
            <w:noWrap/>
            <w:vAlign w:val="bottom"/>
            <w:hideMark/>
          </w:tcPr>
          <w:p w14:paraId="78857F30"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 </w:t>
            </w:r>
          </w:p>
        </w:tc>
        <w:tc>
          <w:tcPr>
            <w:tcW w:w="3005" w:type="dxa"/>
            <w:tcBorders>
              <w:top w:val="nil"/>
              <w:left w:val="nil"/>
              <w:bottom w:val="single" w:sz="4" w:space="0" w:color="auto"/>
              <w:right w:val="single" w:sz="4" w:space="0" w:color="auto"/>
            </w:tcBorders>
            <w:noWrap/>
            <w:vAlign w:val="bottom"/>
            <w:hideMark/>
          </w:tcPr>
          <w:p w14:paraId="346D4787" w14:textId="77777777" w:rsidR="002C05B7" w:rsidRPr="002C05B7" w:rsidRDefault="002C05B7" w:rsidP="002C05B7">
            <w:pPr>
              <w:spacing w:after="0" w:line="240" w:lineRule="auto"/>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Share in total import</w:t>
            </w:r>
          </w:p>
        </w:tc>
        <w:tc>
          <w:tcPr>
            <w:tcW w:w="850" w:type="dxa"/>
            <w:tcBorders>
              <w:top w:val="nil"/>
              <w:left w:val="nil"/>
              <w:bottom w:val="single" w:sz="4" w:space="0" w:color="auto"/>
              <w:right w:val="single" w:sz="4" w:space="0" w:color="auto"/>
            </w:tcBorders>
            <w:noWrap/>
            <w:vAlign w:val="center"/>
            <w:hideMark/>
          </w:tcPr>
          <w:p w14:paraId="5F5DDFE1"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1.55</w:t>
            </w:r>
          </w:p>
        </w:tc>
        <w:tc>
          <w:tcPr>
            <w:tcW w:w="851" w:type="dxa"/>
            <w:tcBorders>
              <w:top w:val="nil"/>
              <w:left w:val="nil"/>
              <w:bottom w:val="single" w:sz="4" w:space="0" w:color="auto"/>
              <w:right w:val="single" w:sz="4" w:space="0" w:color="auto"/>
            </w:tcBorders>
            <w:noWrap/>
            <w:vAlign w:val="center"/>
            <w:hideMark/>
          </w:tcPr>
          <w:p w14:paraId="2F62B2C6"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0.60</w:t>
            </w:r>
          </w:p>
        </w:tc>
        <w:tc>
          <w:tcPr>
            <w:tcW w:w="850" w:type="dxa"/>
            <w:tcBorders>
              <w:top w:val="nil"/>
              <w:left w:val="nil"/>
              <w:bottom w:val="single" w:sz="4" w:space="0" w:color="auto"/>
              <w:right w:val="single" w:sz="4" w:space="0" w:color="auto"/>
            </w:tcBorders>
            <w:noWrap/>
            <w:vAlign w:val="center"/>
            <w:hideMark/>
          </w:tcPr>
          <w:p w14:paraId="78712F51"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0.73</w:t>
            </w:r>
          </w:p>
        </w:tc>
        <w:tc>
          <w:tcPr>
            <w:tcW w:w="851" w:type="dxa"/>
            <w:tcBorders>
              <w:top w:val="nil"/>
              <w:left w:val="nil"/>
              <w:bottom w:val="single" w:sz="4" w:space="0" w:color="auto"/>
              <w:right w:val="single" w:sz="4" w:space="0" w:color="auto"/>
            </w:tcBorders>
            <w:noWrap/>
            <w:vAlign w:val="center"/>
            <w:hideMark/>
          </w:tcPr>
          <w:p w14:paraId="29312B04"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0.49</w:t>
            </w:r>
          </w:p>
        </w:tc>
        <w:tc>
          <w:tcPr>
            <w:tcW w:w="850" w:type="dxa"/>
            <w:tcBorders>
              <w:top w:val="nil"/>
              <w:left w:val="nil"/>
              <w:bottom w:val="single" w:sz="4" w:space="0" w:color="auto"/>
              <w:right w:val="single" w:sz="4" w:space="0" w:color="auto"/>
            </w:tcBorders>
            <w:noWrap/>
            <w:vAlign w:val="center"/>
            <w:hideMark/>
          </w:tcPr>
          <w:p w14:paraId="5E4C0434"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0.73</w:t>
            </w:r>
          </w:p>
        </w:tc>
        <w:tc>
          <w:tcPr>
            <w:tcW w:w="992" w:type="dxa"/>
            <w:tcBorders>
              <w:top w:val="nil"/>
              <w:left w:val="nil"/>
              <w:bottom w:val="single" w:sz="4" w:space="0" w:color="auto"/>
              <w:right w:val="single" w:sz="4" w:space="0" w:color="auto"/>
            </w:tcBorders>
            <w:noWrap/>
            <w:vAlign w:val="center"/>
            <w:hideMark/>
          </w:tcPr>
          <w:p w14:paraId="254A313C"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993" w:type="dxa"/>
            <w:gridSpan w:val="2"/>
            <w:tcBorders>
              <w:top w:val="nil"/>
              <w:left w:val="nil"/>
              <w:bottom w:val="single" w:sz="4" w:space="0" w:color="auto"/>
              <w:right w:val="single" w:sz="4" w:space="0" w:color="auto"/>
            </w:tcBorders>
            <w:noWrap/>
            <w:vAlign w:val="center"/>
            <w:hideMark/>
          </w:tcPr>
          <w:p w14:paraId="2A4F8551"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936" w:type="dxa"/>
            <w:tcBorders>
              <w:top w:val="nil"/>
              <w:left w:val="nil"/>
              <w:bottom w:val="single" w:sz="4" w:space="0" w:color="auto"/>
              <w:right w:val="single" w:sz="4" w:space="0" w:color="auto"/>
            </w:tcBorders>
            <w:noWrap/>
            <w:vAlign w:val="center"/>
            <w:hideMark/>
          </w:tcPr>
          <w:p w14:paraId="47BA48F2"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821" w:type="dxa"/>
            <w:tcBorders>
              <w:top w:val="nil"/>
              <w:left w:val="nil"/>
              <w:bottom w:val="single" w:sz="4" w:space="0" w:color="auto"/>
              <w:right w:val="single" w:sz="4" w:space="0" w:color="auto"/>
            </w:tcBorders>
            <w:noWrap/>
            <w:vAlign w:val="center"/>
            <w:hideMark/>
          </w:tcPr>
          <w:p w14:paraId="508D418E"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r>
      <w:tr w:rsidR="002C05B7" w:rsidRPr="002C05B7" w14:paraId="5D4AE561" w14:textId="77777777" w:rsidTr="002C05B7">
        <w:trPr>
          <w:trHeight w:val="285"/>
        </w:trPr>
        <w:tc>
          <w:tcPr>
            <w:tcW w:w="540" w:type="dxa"/>
            <w:tcBorders>
              <w:top w:val="nil"/>
              <w:left w:val="single" w:sz="4" w:space="0" w:color="auto"/>
              <w:bottom w:val="single" w:sz="4" w:space="0" w:color="auto"/>
              <w:right w:val="single" w:sz="4" w:space="0" w:color="auto"/>
            </w:tcBorders>
            <w:noWrap/>
            <w:vAlign w:val="bottom"/>
            <w:hideMark/>
          </w:tcPr>
          <w:p w14:paraId="11D7A489"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9</w:t>
            </w:r>
          </w:p>
        </w:tc>
        <w:tc>
          <w:tcPr>
            <w:tcW w:w="3005" w:type="dxa"/>
            <w:tcBorders>
              <w:top w:val="nil"/>
              <w:left w:val="nil"/>
              <w:bottom w:val="single" w:sz="4" w:space="0" w:color="auto"/>
              <w:right w:val="single" w:sz="4" w:space="0" w:color="auto"/>
            </w:tcBorders>
            <w:noWrap/>
            <w:vAlign w:val="bottom"/>
            <w:hideMark/>
          </w:tcPr>
          <w:p w14:paraId="18CFD504" w14:textId="77777777" w:rsidR="002C05B7" w:rsidRPr="002C05B7" w:rsidRDefault="002C05B7" w:rsidP="002C05B7">
            <w:pPr>
              <w:spacing w:after="0" w:line="240" w:lineRule="auto"/>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PULP AND WASTE PAPER</w:t>
            </w:r>
          </w:p>
        </w:tc>
        <w:tc>
          <w:tcPr>
            <w:tcW w:w="850" w:type="dxa"/>
            <w:tcBorders>
              <w:top w:val="nil"/>
              <w:left w:val="nil"/>
              <w:bottom w:val="single" w:sz="4" w:space="0" w:color="auto"/>
              <w:right w:val="single" w:sz="4" w:space="0" w:color="auto"/>
            </w:tcBorders>
            <w:noWrap/>
            <w:vAlign w:val="center"/>
            <w:hideMark/>
          </w:tcPr>
          <w:p w14:paraId="782BCB99"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851" w:type="dxa"/>
            <w:tcBorders>
              <w:top w:val="nil"/>
              <w:left w:val="nil"/>
              <w:bottom w:val="single" w:sz="4" w:space="0" w:color="auto"/>
              <w:right w:val="single" w:sz="4" w:space="0" w:color="auto"/>
            </w:tcBorders>
            <w:noWrap/>
            <w:vAlign w:val="center"/>
            <w:hideMark/>
          </w:tcPr>
          <w:p w14:paraId="432EA1EB"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850" w:type="dxa"/>
            <w:tcBorders>
              <w:top w:val="nil"/>
              <w:left w:val="nil"/>
              <w:bottom w:val="single" w:sz="4" w:space="0" w:color="auto"/>
              <w:right w:val="single" w:sz="4" w:space="0" w:color="auto"/>
            </w:tcBorders>
            <w:noWrap/>
            <w:vAlign w:val="center"/>
            <w:hideMark/>
          </w:tcPr>
          <w:p w14:paraId="6F069F97"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20.23</w:t>
            </w:r>
          </w:p>
        </w:tc>
        <w:tc>
          <w:tcPr>
            <w:tcW w:w="851" w:type="dxa"/>
            <w:tcBorders>
              <w:top w:val="nil"/>
              <w:left w:val="nil"/>
              <w:bottom w:val="single" w:sz="4" w:space="0" w:color="auto"/>
              <w:right w:val="single" w:sz="4" w:space="0" w:color="auto"/>
            </w:tcBorders>
            <w:noWrap/>
            <w:vAlign w:val="center"/>
            <w:hideMark/>
          </w:tcPr>
          <w:p w14:paraId="6C256148"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13.69</w:t>
            </w:r>
          </w:p>
        </w:tc>
        <w:tc>
          <w:tcPr>
            <w:tcW w:w="850" w:type="dxa"/>
            <w:tcBorders>
              <w:top w:val="nil"/>
              <w:left w:val="nil"/>
              <w:bottom w:val="single" w:sz="4" w:space="0" w:color="auto"/>
              <w:right w:val="single" w:sz="4" w:space="0" w:color="auto"/>
            </w:tcBorders>
            <w:noWrap/>
            <w:vAlign w:val="center"/>
            <w:hideMark/>
          </w:tcPr>
          <w:p w14:paraId="71120A0E"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12.07</w:t>
            </w:r>
          </w:p>
        </w:tc>
        <w:tc>
          <w:tcPr>
            <w:tcW w:w="992" w:type="dxa"/>
            <w:tcBorders>
              <w:top w:val="nil"/>
              <w:left w:val="nil"/>
              <w:bottom w:val="single" w:sz="4" w:space="0" w:color="auto"/>
              <w:right w:val="single" w:sz="4" w:space="0" w:color="auto"/>
            </w:tcBorders>
            <w:noWrap/>
            <w:vAlign w:val="center"/>
            <w:hideMark/>
          </w:tcPr>
          <w:p w14:paraId="5C18A183"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993" w:type="dxa"/>
            <w:gridSpan w:val="2"/>
            <w:tcBorders>
              <w:top w:val="nil"/>
              <w:left w:val="nil"/>
              <w:bottom w:val="single" w:sz="4" w:space="0" w:color="auto"/>
              <w:right w:val="single" w:sz="4" w:space="0" w:color="auto"/>
            </w:tcBorders>
            <w:noWrap/>
            <w:vAlign w:val="center"/>
            <w:hideMark/>
          </w:tcPr>
          <w:p w14:paraId="37F9041E"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936" w:type="dxa"/>
            <w:tcBorders>
              <w:top w:val="nil"/>
              <w:left w:val="nil"/>
              <w:bottom w:val="single" w:sz="4" w:space="0" w:color="auto"/>
              <w:right w:val="single" w:sz="4" w:space="0" w:color="auto"/>
            </w:tcBorders>
            <w:noWrap/>
            <w:vAlign w:val="center"/>
            <w:hideMark/>
          </w:tcPr>
          <w:p w14:paraId="671FD175"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-32.33</w:t>
            </w:r>
          </w:p>
        </w:tc>
        <w:tc>
          <w:tcPr>
            <w:tcW w:w="821" w:type="dxa"/>
            <w:tcBorders>
              <w:top w:val="nil"/>
              <w:left w:val="nil"/>
              <w:bottom w:val="single" w:sz="4" w:space="0" w:color="auto"/>
              <w:right w:val="single" w:sz="4" w:space="0" w:color="auto"/>
            </w:tcBorders>
            <w:noWrap/>
            <w:vAlign w:val="center"/>
            <w:hideMark/>
          </w:tcPr>
          <w:p w14:paraId="4AB3582F"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-11.82</w:t>
            </w:r>
          </w:p>
        </w:tc>
      </w:tr>
      <w:tr w:rsidR="002C05B7" w:rsidRPr="002C05B7" w14:paraId="38522ECE" w14:textId="77777777" w:rsidTr="002C05B7">
        <w:trPr>
          <w:trHeight w:val="300"/>
        </w:trPr>
        <w:tc>
          <w:tcPr>
            <w:tcW w:w="540" w:type="dxa"/>
            <w:tcBorders>
              <w:top w:val="nil"/>
              <w:left w:val="single" w:sz="4" w:space="0" w:color="auto"/>
              <w:bottom w:val="single" w:sz="4" w:space="0" w:color="auto"/>
              <w:right w:val="single" w:sz="4" w:space="0" w:color="auto"/>
            </w:tcBorders>
            <w:noWrap/>
            <w:vAlign w:val="bottom"/>
            <w:hideMark/>
          </w:tcPr>
          <w:p w14:paraId="1D4EA011"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 </w:t>
            </w:r>
          </w:p>
        </w:tc>
        <w:tc>
          <w:tcPr>
            <w:tcW w:w="3005" w:type="dxa"/>
            <w:tcBorders>
              <w:top w:val="nil"/>
              <w:left w:val="nil"/>
              <w:bottom w:val="single" w:sz="4" w:space="0" w:color="auto"/>
              <w:right w:val="single" w:sz="4" w:space="0" w:color="auto"/>
            </w:tcBorders>
            <w:noWrap/>
            <w:vAlign w:val="bottom"/>
            <w:hideMark/>
          </w:tcPr>
          <w:p w14:paraId="6C5F803E" w14:textId="77777777" w:rsidR="002C05B7" w:rsidRPr="002C05B7" w:rsidRDefault="002C05B7" w:rsidP="002C05B7">
            <w:pPr>
              <w:spacing w:after="0" w:line="240" w:lineRule="auto"/>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Share in total import</w:t>
            </w:r>
          </w:p>
        </w:tc>
        <w:tc>
          <w:tcPr>
            <w:tcW w:w="850" w:type="dxa"/>
            <w:tcBorders>
              <w:top w:val="nil"/>
              <w:left w:val="nil"/>
              <w:bottom w:val="single" w:sz="4" w:space="0" w:color="auto"/>
              <w:right w:val="single" w:sz="4" w:space="0" w:color="auto"/>
            </w:tcBorders>
            <w:noWrap/>
            <w:vAlign w:val="center"/>
            <w:hideMark/>
          </w:tcPr>
          <w:p w14:paraId="26C7C316"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0.00</w:t>
            </w:r>
          </w:p>
        </w:tc>
        <w:tc>
          <w:tcPr>
            <w:tcW w:w="851" w:type="dxa"/>
            <w:tcBorders>
              <w:top w:val="nil"/>
              <w:left w:val="nil"/>
              <w:bottom w:val="single" w:sz="4" w:space="0" w:color="auto"/>
              <w:right w:val="single" w:sz="4" w:space="0" w:color="auto"/>
            </w:tcBorders>
            <w:noWrap/>
            <w:vAlign w:val="center"/>
            <w:hideMark/>
          </w:tcPr>
          <w:p w14:paraId="5893E082"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0.00</w:t>
            </w:r>
          </w:p>
        </w:tc>
        <w:tc>
          <w:tcPr>
            <w:tcW w:w="850" w:type="dxa"/>
            <w:tcBorders>
              <w:top w:val="nil"/>
              <w:left w:val="nil"/>
              <w:bottom w:val="single" w:sz="4" w:space="0" w:color="auto"/>
              <w:right w:val="single" w:sz="4" w:space="0" w:color="auto"/>
            </w:tcBorders>
            <w:noWrap/>
            <w:vAlign w:val="center"/>
            <w:hideMark/>
          </w:tcPr>
          <w:p w14:paraId="3C18B9F0"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0.80</w:t>
            </w:r>
          </w:p>
        </w:tc>
        <w:tc>
          <w:tcPr>
            <w:tcW w:w="851" w:type="dxa"/>
            <w:tcBorders>
              <w:top w:val="nil"/>
              <w:left w:val="nil"/>
              <w:bottom w:val="single" w:sz="4" w:space="0" w:color="auto"/>
              <w:right w:val="single" w:sz="4" w:space="0" w:color="auto"/>
            </w:tcBorders>
            <w:noWrap/>
            <w:vAlign w:val="center"/>
            <w:hideMark/>
          </w:tcPr>
          <w:p w14:paraId="1BA1F672"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0.57</w:t>
            </w:r>
          </w:p>
        </w:tc>
        <w:tc>
          <w:tcPr>
            <w:tcW w:w="850" w:type="dxa"/>
            <w:tcBorders>
              <w:top w:val="nil"/>
              <w:left w:val="nil"/>
              <w:bottom w:val="single" w:sz="4" w:space="0" w:color="auto"/>
              <w:right w:val="single" w:sz="4" w:space="0" w:color="auto"/>
            </w:tcBorders>
            <w:noWrap/>
            <w:vAlign w:val="center"/>
            <w:hideMark/>
          </w:tcPr>
          <w:p w14:paraId="2F78271E"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0.58</w:t>
            </w:r>
          </w:p>
        </w:tc>
        <w:tc>
          <w:tcPr>
            <w:tcW w:w="992" w:type="dxa"/>
            <w:tcBorders>
              <w:top w:val="nil"/>
              <w:left w:val="nil"/>
              <w:bottom w:val="single" w:sz="4" w:space="0" w:color="auto"/>
              <w:right w:val="single" w:sz="4" w:space="0" w:color="auto"/>
            </w:tcBorders>
            <w:noWrap/>
            <w:vAlign w:val="center"/>
            <w:hideMark/>
          </w:tcPr>
          <w:p w14:paraId="2F816A1D"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993" w:type="dxa"/>
            <w:gridSpan w:val="2"/>
            <w:tcBorders>
              <w:top w:val="nil"/>
              <w:left w:val="nil"/>
              <w:bottom w:val="single" w:sz="4" w:space="0" w:color="auto"/>
              <w:right w:val="single" w:sz="4" w:space="0" w:color="auto"/>
            </w:tcBorders>
            <w:noWrap/>
            <w:vAlign w:val="center"/>
            <w:hideMark/>
          </w:tcPr>
          <w:p w14:paraId="12D0A791"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936" w:type="dxa"/>
            <w:tcBorders>
              <w:top w:val="nil"/>
              <w:left w:val="nil"/>
              <w:bottom w:val="single" w:sz="4" w:space="0" w:color="auto"/>
              <w:right w:val="single" w:sz="4" w:space="0" w:color="auto"/>
            </w:tcBorders>
            <w:noWrap/>
            <w:vAlign w:val="center"/>
            <w:hideMark/>
          </w:tcPr>
          <w:p w14:paraId="69B90EA9"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821" w:type="dxa"/>
            <w:tcBorders>
              <w:top w:val="nil"/>
              <w:left w:val="nil"/>
              <w:bottom w:val="single" w:sz="4" w:space="0" w:color="auto"/>
              <w:right w:val="single" w:sz="4" w:space="0" w:color="auto"/>
            </w:tcBorders>
            <w:noWrap/>
            <w:vAlign w:val="center"/>
            <w:hideMark/>
          </w:tcPr>
          <w:p w14:paraId="7B7450F1"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r>
      <w:tr w:rsidR="002C05B7" w:rsidRPr="002C05B7" w14:paraId="11EB692D" w14:textId="77777777" w:rsidTr="002C05B7">
        <w:trPr>
          <w:trHeight w:val="285"/>
        </w:trPr>
        <w:tc>
          <w:tcPr>
            <w:tcW w:w="540" w:type="dxa"/>
            <w:tcBorders>
              <w:top w:val="nil"/>
              <w:left w:val="single" w:sz="4" w:space="0" w:color="auto"/>
              <w:bottom w:val="single" w:sz="4" w:space="0" w:color="auto"/>
              <w:right w:val="single" w:sz="4" w:space="0" w:color="auto"/>
            </w:tcBorders>
            <w:noWrap/>
            <w:vAlign w:val="bottom"/>
            <w:hideMark/>
          </w:tcPr>
          <w:p w14:paraId="43DA550D"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10</w:t>
            </w:r>
          </w:p>
        </w:tc>
        <w:tc>
          <w:tcPr>
            <w:tcW w:w="3005" w:type="dxa"/>
            <w:tcBorders>
              <w:top w:val="nil"/>
              <w:left w:val="nil"/>
              <w:bottom w:val="single" w:sz="4" w:space="0" w:color="auto"/>
              <w:right w:val="single" w:sz="4" w:space="0" w:color="auto"/>
            </w:tcBorders>
            <w:noWrap/>
            <w:vAlign w:val="bottom"/>
            <w:hideMark/>
          </w:tcPr>
          <w:p w14:paraId="29FDA0C0" w14:textId="77777777" w:rsidR="002C05B7" w:rsidRPr="002C05B7" w:rsidRDefault="002C05B7" w:rsidP="002C05B7">
            <w:pPr>
              <w:spacing w:after="0" w:line="240" w:lineRule="auto"/>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ALUMINIUM, PRODUCTS OF ALUMINM</w:t>
            </w:r>
          </w:p>
        </w:tc>
        <w:tc>
          <w:tcPr>
            <w:tcW w:w="850" w:type="dxa"/>
            <w:tcBorders>
              <w:top w:val="nil"/>
              <w:left w:val="nil"/>
              <w:bottom w:val="single" w:sz="4" w:space="0" w:color="auto"/>
              <w:right w:val="single" w:sz="4" w:space="0" w:color="auto"/>
            </w:tcBorders>
            <w:noWrap/>
            <w:vAlign w:val="center"/>
            <w:hideMark/>
          </w:tcPr>
          <w:p w14:paraId="020CB51A"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3.53</w:t>
            </w:r>
          </w:p>
        </w:tc>
        <w:tc>
          <w:tcPr>
            <w:tcW w:w="851" w:type="dxa"/>
            <w:tcBorders>
              <w:top w:val="nil"/>
              <w:left w:val="nil"/>
              <w:bottom w:val="single" w:sz="4" w:space="0" w:color="auto"/>
              <w:right w:val="single" w:sz="4" w:space="0" w:color="auto"/>
            </w:tcBorders>
            <w:noWrap/>
            <w:vAlign w:val="center"/>
            <w:hideMark/>
          </w:tcPr>
          <w:p w14:paraId="3C8C67A2"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4.84</w:t>
            </w:r>
          </w:p>
        </w:tc>
        <w:tc>
          <w:tcPr>
            <w:tcW w:w="850" w:type="dxa"/>
            <w:tcBorders>
              <w:top w:val="nil"/>
              <w:left w:val="nil"/>
              <w:bottom w:val="single" w:sz="4" w:space="0" w:color="auto"/>
              <w:right w:val="single" w:sz="4" w:space="0" w:color="auto"/>
            </w:tcBorders>
            <w:noWrap/>
            <w:vAlign w:val="center"/>
            <w:hideMark/>
          </w:tcPr>
          <w:p w14:paraId="71708CBD"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3.83</w:t>
            </w:r>
          </w:p>
        </w:tc>
        <w:tc>
          <w:tcPr>
            <w:tcW w:w="851" w:type="dxa"/>
            <w:tcBorders>
              <w:top w:val="nil"/>
              <w:left w:val="nil"/>
              <w:bottom w:val="single" w:sz="4" w:space="0" w:color="auto"/>
              <w:right w:val="single" w:sz="4" w:space="0" w:color="auto"/>
            </w:tcBorders>
            <w:noWrap/>
            <w:vAlign w:val="center"/>
            <w:hideMark/>
          </w:tcPr>
          <w:p w14:paraId="05D42C2B"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2.36</w:t>
            </w:r>
          </w:p>
        </w:tc>
        <w:tc>
          <w:tcPr>
            <w:tcW w:w="850" w:type="dxa"/>
            <w:tcBorders>
              <w:top w:val="nil"/>
              <w:left w:val="nil"/>
              <w:bottom w:val="single" w:sz="4" w:space="0" w:color="auto"/>
              <w:right w:val="single" w:sz="4" w:space="0" w:color="auto"/>
            </w:tcBorders>
            <w:noWrap/>
            <w:vAlign w:val="center"/>
            <w:hideMark/>
          </w:tcPr>
          <w:p w14:paraId="37AF2AB0"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8.20</w:t>
            </w:r>
          </w:p>
        </w:tc>
        <w:tc>
          <w:tcPr>
            <w:tcW w:w="992" w:type="dxa"/>
            <w:tcBorders>
              <w:top w:val="nil"/>
              <w:left w:val="nil"/>
              <w:bottom w:val="single" w:sz="4" w:space="0" w:color="auto"/>
              <w:right w:val="single" w:sz="4" w:space="0" w:color="auto"/>
            </w:tcBorders>
            <w:noWrap/>
            <w:vAlign w:val="center"/>
            <w:hideMark/>
          </w:tcPr>
          <w:p w14:paraId="56057D33"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37.11</w:t>
            </w:r>
          </w:p>
        </w:tc>
        <w:tc>
          <w:tcPr>
            <w:tcW w:w="993" w:type="dxa"/>
            <w:gridSpan w:val="2"/>
            <w:tcBorders>
              <w:top w:val="nil"/>
              <w:left w:val="nil"/>
              <w:bottom w:val="single" w:sz="4" w:space="0" w:color="auto"/>
              <w:right w:val="single" w:sz="4" w:space="0" w:color="auto"/>
            </w:tcBorders>
            <w:noWrap/>
            <w:vAlign w:val="center"/>
            <w:hideMark/>
          </w:tcPr>
          <w:p w14:paraId="2BA0F082"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-20.87</w:t>
            </w:r>
          </w:p>
        </w:tc>
        <w:tc>
          <w:tcPr>
            <w:tcW w:w="936" w:type="dxa"/>
            <w:tcBorders>
              <w:top w:val="nil"/>
              <w:left w:val="nil"/>
              <w:bottom w:val="single" w:sz="4" w:space="0" w:color="auto"/>
              <w:right w:val="single" w:sz="4" w:space="0" w:color="auto"/>
            </w:tcBorders>
            <w:noWrap/>
            <w:vAlign w:val="center"/>
            <w:hideMark/>
          </w:tcPr>
          <w:p w14:paraId="5837830B"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-38.38</w:t>
            </w:r>
          </w:p>
        </w:tc>
        <w:tc>
          <w:tcPr>
            <w:tcW w:w="821" w:type="dxa"/>
            <w:tcBorders>
              <w:top w:val="nil"/>
              <w:left w:val="nil"/>
              <w:bottom w:val="single" w:sz="4" w:space="0" w:color="auto"/>
              <w:right w:val="single" w:sz="4" w:space="0" w:color="auto"/>
            </w:tcBorders>
            <w:noWrap/>
            <w:vAlign w:val="center"/>
            <w:hideMark/>
          </w:tcPr>
          <w:p w14:paraId="64AB1256"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247.62</w:t>
            </w:r>
          </w:p>
        </w:tc>
      </w:tr>
      <w:tr w:rsidR="002C05B7" w:rsidRPr="002C05B7" w14:paraId="3D5F82F1" w14:textId="77777777" w:rsidTr="002C05B7">
        <w:trPr>
          <w:trHeight w:val="300"/>
        </w:trPr>
        <w:tc>
          <w:tcPr>
            <w:tcW w:w="540" w:type="dxa"/>
            <w:tcBorders>
              <w:top w:val="nil"/>
              <w:left w:val="single" w:sz="4" w:space="0" w:color="auto"/>
              <w:bottom w:val="single" w:sz="4" w:space="0" w:color="auto"/>
              <w:right w:val="single" w:sz="4" w:space="0" w:color="auto"/>
            </w:tcBorders>
            <w:noWrap/>
            <w:vAlign w:val="bottom"/>
            <w:hideMark/>
          </w:tcPr>
          <w:p w14:paraId="0F2EA776"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 </w:t>
            </w:r>
          </w:p>
        </w:tc>
        <w:tc>
          <w:tcPr>
            <w:tcW w:w="3005" w:type="dxa"/>
            <w:tcBorders>
              <w:top w:val="nil"/>
              <w:left w:val="nil"/>
              <w:bottom w:val="single" w:sz="4" w:space="0" w:color="auto"/>
              <w:right w:val="single" w:sz="4" w:space="0" w:color="auto"/>
            </w:tcBorders>
            <w:noWrap/>
            <w:vAlign w:val="bottom"/>
            <w:hideMark/>
          </w:tcPr>
          <w:p w14:paraId="0BDB119E" w14:textId="77777777" w:rsidR="002C05B7" w:rsidRPr="002C05B7" w:rsidRDefault="002C05B7" w:rsidP="002C05B7">
            <w:pPr>
              <w:spacing w:after="0" w:line="240" w:lineRule="auto"/>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Share in total import</w:t>
            </w:r>
          </w:p>
        </w:tc>
        <w:tc>
          <w:tcPr>
            <w:tcW w:w="850" w:type="dxa"/>
            <w:tcBorders>
              <w:top w:val="nil"/>
              <w:left w:val="nil"/>
              <w:bottom w:val="single" w:sz="4" w:space="0" w:color="auto"/>
              <w:right w:val="single" w:sz="4" w:space="0" w:color="auto"/>
            </w:tcBorders>
            <w:noWrap/>
            <w:vAlign w:val="center"/>
            <w:hideMark/>
          </w:tcPr>
          <w:p w14:paraId="6E3F9344"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0.56</w:t>
            </w:r>
          </w:p>
        </w:tc>
        <w:tc>
          <w:tcPr>
            <w:tcW w:w="851" w:type="dxa"/>
            <w:tcBorders>
              <w:top w:val="nil"/>
              <w:left w:val="nil"/>
              <w:bottom w:val="single" w:sz="4" w:space="0" w:color="auto"/>
              <w:right w:val="single" w:sz="4" w:space="0" w:color="auto"/>
            </w:tcBorders>
            <w:noWrap/>
            <w:vAlign w:val="center"/>
            <w:hideMark/>
          </w:tcPr>
          <w:p w14:paraId="180192BD"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0.26</w:t>
            </w:r>
          </w:p>
        </w:tc>
        <w:tc>
          <w:tcPr>
            <w:tcW w:w="850" w:type="dxa"/>
            <w:tcBorders>
              <w:top w:val="nil"/>
              <w:left w:val="nil"/>
              <w:bottom w:val="single" w:sz="4" w:space="0" w:color="auto"/>
              <w:right w:val="single" w:sz="4" w:space="0" w:color="auto"/>
            </w:tcBorders>
            <w:noWrap/>
            <w:vAlign w:val="center"/>
            <w:hideMark/>
          </w:tcPr>
          <w:p w14:paraId="0F671A08"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0.15</w:t>
            </w:r>
          </w:p>
        </w:tc>
        <w:tc>
          <w:tcPr>
            <w:tcW w:w="851" w:type="dxa"/>
            <w:tcBorders>
              <w:top w:val="nil"/>
              <w:left w:val="nil"/>
              <w:bottom w:val="single" w:sz="4" w:space="0" w:color="auto"/>
              <w:right w:val="single" w:sz="4" w:space="0" w:color="auto"/>
            </w:tcBorders>
            <w:noWrap/>
            <w:vAlign w:val="center"/>
            <w:hideMark/>
          </w:tcPr>
          <w:p w14:paraId="015E4F52"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0.10</w:t>
            </w:r>
          </w:p>
        </w:tc>
        <w:tc>
          <w:tcPr>
            <w:tcW w:w="850" w:type="dxa"/>
            <w:tcBorders>
              <w:top w:val="nil"/>
              <w:left w:val="nil"/>
              <w:bottom w:val="single" w:sz="4" w:space="0" w:color="auto"/>
              <w:right w:val="single" w:sz="4" w:space="0" w:color="auto"/>
            </w:tcBorders>
            <w:noWrap/>
            <w:vAlign w:val="center"/>
            <w:hideMark/>
          </w:tcPr>
          <w:p w14:paraId="1A15A8ED" w14:textId="77777777" w:rsidR="002C05B7" w:rsidRPr="002C05B7" w:rsidRDefault="002C05B7" w:rsidP="002C05B7">
            <w:pPr>
              <w:spacing w:after="0" w:line="240" w:lineRule="auto"/>
              <w:jc w:val="center"/>
              <w:rPr>
                <w:rFonts w:ascii="Times New Roman" w:eastAsia="Times New Roman" w:hAnsi="Times New Roman" w:cs="Times New Roman"/>
                <w:sz w:val="18"/>
                <w:szCs w:val="18"/>
                <w:lang w:eastAsia="en-IN" w:bidi="bn-IN"/>
              </w:rPr>
            </w:pPr>
            <w:r w:rsidRPr="002C05B7">
              <w:rPr>
                <w:rFonts w:ascii="Times New Roman" w:eastAsia="Times New Roman" w:hAnsi="Times New Roman" w:cs="Times New Roman"/>
                <w:sz w:val="18"/>
                <w:szCs w:val="18"/>
                <w:lang w:eastAsia="en-IN" w:bidi="bn-IN"/>
              </w:rPr>
              <w:t>0.39</w:t>
            </w:r>
          </w:p>
        </w:tc>
        <w:tc>
          <w:tcPr>
            <w:tcW w:w="992" w:type="dxa"/>
            <w:tcBorders>
              <w:top w:val="nil"/>
              <w:left w:val="nil"/>
              <w:bottom w:val="single" w:sz="4" w:space="0" w:color="auto"/>
              <w:right w:val="single" w:sz="4" w:space="0" w:color="auto"/>
            </w:tcBorders>
            <w:noWrap/>
            <w:vAlign w:val="center"/>
            <w:hideMark/>
          </w:tcPr>
          <w:p w14:paraId="4BFE3F0D"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993" w:type="dxa"/>
            <w:gridSpan w:val="2"/>
            <w:tcBorders>
              <w:top w:val="nil"/>
              <w:left w:val="nil"/>
              <w:bottom w:val="single" w:sz="4" w:space="0" w:color="auto"/>
              <w:right w:val="single" w:sz="4" w:space="0" w:color="auto"/>
            </w:tcBorders>
            <w:noWrap/>
            <w:vAlign w:val="center"/>
            <w:hideMark/>
          </w:tcPr>
          <w:p w14:paraId="73C5A87A"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936" w:type="dxa"/>
            <w:tcBorders>
              <w:top w:val="nil"/>
              <w:left w:val="nil"/>
              <w:bottom w:val="single" w:sz="4" w:space="0" w:color="auto"/>
              <w:right w:val="single" w:sz="4" w:space="0" w:color="auto"/>
            </w:tcBorders>
            <w:noWrap/>
            <w:vAlign w:val="center"/>
            <w:hideMark/>
          </w:tcPr>
          <w:p w14:paraId="00DD553F"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c>
          <w:tcPr>
            <w:tcW w:w="821" w:type="dxa"/>
            <w:tcBorders>
              <w:top w:val="nil"/>
              <w:left w:val="nil"/>
              <w:bottom w:val="single" w:sz="4" w:space="0" w:color="auto"/>
              <w:right w:val="single" w:sz="4" w:space="0" w:color="auto"/>
            </w:tcBorders>
            <w:noWrap/>
            <w:vAlign w:val="center"/>
            <w:hideMark/>
          </w:tcPr>
          <w:p w14:paraId="461C0E5B"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p>
        </w:tc>
      </w:tr>
      <w:tr w:rsidR="002C05B7" w:rsidRPr="002C05B7" w14:paraId="0FF8BBC5" w14:textId="77777777" w:rsidTr="002C05B7">
        <w:trPr>
          <w:trHeight w:val="285"/>
        </w:trPr>
        <w:tc>
          <w:tcPr>
            <w:tcW w:w="540" w:type="dxa"/>
            <w:tcBorders>
              <w:top w:val="nil"/>
              <w:left w:val="single" w:sz="4" w:space="0" w:color="auto"/>
              <w:bottom w:val="single" w:sz="4" w:space="0" w:color="auto"/>
              <w:right w:val="single" w:sz="4" w:space="0" w:color="auto"/>
            </w:tcBorders>
            <w:noWrap/>
            <w:vAlign w:val="bottom"/>
            <w:hideMark/>
          </w:tcPr>
          <w:p w14:paraId="142F1A3D" w14:textId="77777777" w:rsidR="002C05B7" w:rsidRPr="002C05B7" w:rsidRDefault="002C05B7" w:rsidP="002C05B7">
            <w:pPr>
              <w:spacing w:after="0" w:line="240" w:lineRule="auto"/>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 </w:t>
            </w:r>
          </w:p>
        </w:tc>
        <w:tc>
          <w:tcPr>
            <w:tcW w:w="3005" w:type="dxa"/>
            <w:tcBorders>
              <w:top w:val="nil"/>
              <w:left w:val="nil"/>
              <w:bottom w:val="single" w:sz="4" w:space="0" w:color="auto"/>
              <w:right w:val="single" w:sz="4" w:space="0" w:color="auto"/>
            </w:tcBorders>
            <w:noWrap/>
            <w:vAlign w:val="bottom"/>
            <w:hideMark/>
          </w:tcPr>
          <w:p w14:paraId="6E0E62F6" w14:textId="77777777" w:rsidR="002C05B7" w:rsidRPr="002C05B7" w:rsidRDefault="002C05B7" w:rsidP="002C05B7">
            <w:pPr>
              <w:spacing w:after="0" w:line="240" w:lineRule="auto"/>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Total import from MOZAMBIQUE</w:t>
            </w:r>
          </w:p>
        </w:tc>
        <w:tc>
          <w:tcPr>
            <w:tcW w:w="850" w:type="dxa"/>
            <w:tcBorders>
              <w:top w:val="nil"/>
              <w:left w:val="nil"/>
              <w:bottom w:val="single" w:sz="4" w:space="0" w:color="auto"/>
              <w:right w:val="single" w:sz="4" w:space="0" w:color="auto"/>
            </w:tcBorders>
            <w:shd w:val="clear" w:color="000000" w:fill="FFFFFF"/>
            <w:noWrap/>
            <w:vAlign w:val="center"/>
            <w:hideMark/>
          </w:tcPr>
          <w:p w14:paraId="38F7582D"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631.60</w:t>
            </w:r>
          </w:p>
        </w:tc>
        <w:tc>
          <w:tcPr>
            <w:tcW w:w="851" w:type="dxa"/>
            <w:tcBorders>
              <w:top w:val="nil"/>
              <w:left w:val="nil"/>
              <w:bottom w:val="single" w:sz="4" w:space="0" w:color="auto"/>
              <w:right w:val="single" w:sz="4" w:space="0" w:color="auto"/>
            </w:tcBorders>
            <w:shd w:val="clear" w:color="000000" w:fill="FFFFFF"/>
            <w:noWrap/>
            <w:vAlign w:val="center"/>
            <w:hideMark/>
          </w:tcPr>
          <w:p w14:paraId="03FE83E7"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1879.49</w:t>
            </w:r>
          </w:p>
        </w:tc>
        <w:tc>
          <w:tcPr>
            <w:tcW w:w="850" w:type="dxa"/>
            <w:tcBorders>
              <w:top w:val="nil"/>
              <w:left w:val="nil"/>
              <w:bottom w:val="single" w:sz="4" w:space="0" w:color="auto"/>
              <w:right w:val="single" w:sz="4" w:space="0" w:color="auto"/>
            </w:tcBorders>
            <w:shd w:val="clear" w:color="000000" w:fill="FFFFFF"/>
            <w:noWrap/>
            <w:vAlign w:val="center"/>
            <w:hideMark/>
          </w:tcPr>
          <w:p w14:paraId="5616E851"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2521.96</w:t>
            </w:r>
          </w:p>
        </w:tc>
        <w:tc>
          <w:tcPr>
            <w:tcW w:w="851" w:type="dxa"/>
            <w:tcBorders>
              <w:top w:val="nil"/>
              <w:left w:val="nil"/>
              <w:bottom w:val="single" w:sz="4" w:space="0" w:color="auto"/>
              <w:right w:val="single" w:sz="4" w:space="0" w:color="auto"/>
            </w:tcBorders>
            <w:shd w:val="clear" w:color="000000" w:fill="FFFFFF"/>
            <w:noWrap/>
            <w:vAlign w:val="center"/>
            <w:hideMark/>
          </w:tcPr>
          <w:p w14:paraId="47DB5C7E"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2419.11</w:t>
            </w:r>
          </w:p>
        </w:tc>
        <w:tc>
          <w:tcPr>
            <w:tcW w:w="850" w:type="dxa"/>
            <w:tcBorders>
              <w:top w:val="nil"/>
              <w:left w:val="nil"/>
              <w:bottom w:val="single" w:sz="4" w:space="0" w:color="auto"/>
              <w:right w:val="single" w:sz="4" w:space="0" w:color="auto"/>
            </w:tcBorders>
            <w:noWrap/>
            <w:vAlign w:val="center"/>
            <w:hideMark/>
          </w:tcPr>
          <w:p w14:paraId="45782B49"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2097.24</w:t>
            </w:r>
          </w:p>
        </w:tc>
        <w:tc>
          <w:tcPr>
            <w:tcW w:w="992" w:type="dxa"/>
            <w:tcBorders>
              <w:top w:val="nil"/>
              <w:left w:val="nil"/>
              <w:bottom w:val="single" w:sz="4" w:space="0" w:color="auto"/>
              <w:right w:val="single" w:sz="4" w:space="0" w:color="auto"/>
            </w:tcBorders>
            <w:noWrap/>
            <w:vAlign w:val="center"/>
            <w:hideMark/>
          </w:tcPr>
          <w:p w14:paraId="2E215D5F"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197.58</w:t>
            </w:r>
          </w:p>
        </w:tc>
        <w:tc>
          <w:tcPr>
            <w:tcW w:w="993" w:type="dxa"/>
            <w:gridSpan w:val="2"/>
            <w:tcBorders>
              <w:top w:val="nil"/>
              <w:left w:val="nil"/>
              <w:bottom w:val="single" w:sz="4" w:space="0" w:color="auto"/>
              <w:right w:val="single" w:sz="4" w:space="0" w:color="auto"/>
            </w:tcBorders>
            <w:noWrap/>
            <w:vAlign w:val="center"/>
            <w:hideMark/>
          </w:tcPr>
          <w:p w14:paraId="5107D4C9"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34.18</w:t>
            </w:r>
          </w:p>
        </w:tc>
        <w:tc>
          <w:tcPr>
            <w:tcW w:w="936" w:type="dxa"/>
            <w:tcBorders>
              <w:top w:val="nil"/>
              <w:left w:val="nil"/>
              <w:bottom w:val="single" w:sz="4" w:space="0" w:color="auto"/>
              <w:right w:val="single" w:sz="4" w:space="0" w:color="auto"/>
            </w:tcBorders>
            <w:noWrap/>
            <w:vAlign w:val="center"/>
            <w:hideMark/>
          </w:tcPr>
          <w:p w14:paraId="347B039A"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-4.08</w:t>
            </w:r>
          </w:p>
        </w:tc>
        <w:tc>
          <w:tcPr>
            <w:tcW w:w="821" w:type="dxa"/>
            <w:tcBorders>
              <w:top w:val="nil"/>
              <w:left w:val="nil"/>
              <w:bottom w:val="single" w:sz="4" w:space="0" w:color="auto"/>
              <w:right w:val="single" w:sz="4" w:space="0" w:color="auto"/>
            </w:tcBorders>
            <w:noWrap/>
            <w:vAlign w:val="center"/>
            <w:hideMark/>
          </w:tcPr>
          <w:p w14:paraId="6E4609F4" w14:textId="77777777" w:rsidR="002C05B7" w:rsidRPr="002C05B7" w:rsidRDefault="002C05B7" w:rsidP="002C05B7">
            <w:pPr>
              <w:spacing w:after="0" w:line="240" w:lineRule="auto"/>
              <w:jc w:val="center"/>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-13.31</w:t>
            </w:r>
          </w:p>
        </w:tc>
      </w:tr>
      <w:tr w:rsidR="002C05B7" w:rsidRPr="002C05B7" w14:paraId="7287D962" w14:textId="77777777" w:rsidTr="002C05B7">
        <w:trPr>
          <w:gridAfter w:val="3"/>
          <w:wAfter w:w="2351" w:type="dxa"/>
          <w:trHeight w:val="70"/>
        </w:trPr>
        <w:tc>
          <w:tcPr>
            <w:tcW w:w="9188" w:type="dxa"/>
            <w:gridSpan w:val="9"/>
            <w:tcBorders>
              <w:top w:val="single" w:sz="4" w:space="0" w:color="auto"/>
              <w:left w:val="nil"/>
              <w:bottom w:val="nil"/>
              <w:right w:val="nil"/>
            </w:tcBorders>
            <w:noWrap/>
            <w:vAlign w:val="bottom"/>
            <w:hideMark/>
          </w:tcPr>
          <w:p w14:paraId="54483E38" w14:textId="1AF8C859" w:rsidR="002C05B7" w:rsidRPr="002C05B7" w:rsidRDefault="002C05B7" w:rsidP="002C05B7">
            <w:pPr>
              <w:spacing w:after="0" w:line="240" w:lineRule="auto"/>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 xml:space="preserve">NOTE:  </w:t>
            </w:r>
            <w:r w:rsidR="009D655E">
              <w:rPr>
                <w:rFonts w:ascii="Times New Roman" w:eastAsia="Times New Roman" w:hAnsi="Times New Roman" w:cs="Times New Roman"/>
                <w:b/>
                <w:bCs/>
                <w:sz w:val="18"/>
                <w:szCs w:val="18"/>
                <w:lang w:eastAsia="en-IN" w:bidi="bn-IN"/>
              </w:rPr>
              <w:t xml:space="preserve">      </w:t>
            </w:r>
            <w:r w:rsidRPr="002C05B7">
              <w:rPr>
                <w:rFonts w:ascii="Times New Roman" w:eastAsia="Times New Roman" w:hAnsi="Times New Roman" w:cs="Times New Roman"/>
                <w:b/>
                <w:bCs/>
                <w:sz w:val="18"/>
                <w:szCs w:val="18"/>
                <w:lang w:eastAsia="en-IN" w:bidi="bn-IN"/>
              </w:rPr>
              <w:t>Figures relate to each Financial Year (April to March)</w:t>
            </w:r>
          </w:p>
        </w:tc>
      </w:tr>
      <w:tr w:rsidR="002C05B7" w:rsidRPr="002C05B7" w14:paraId="302C57E9" w14:textId="77777777" w:rsidTr="002C05B7">
        <w:trPr>
          <w:gridAfter w:val="3"/>
          <w:wAfter w:w="2351" w:type="dxa"/>
          <w:trHeight w:val="80"/>
        </w:trPr>
        <w:tc>
          <w:tcPr>
            <w:tcW w:w="9188" w:type="dxa"/>
            <w:gridSpan w:val="9"/>
            <w:tcBorders>
              <w:top w:val="nil"/>
              <w:left w:val="nil"/>
              <w:bottom w:val="nil"/>
              <w:right w:val="nil"/>
            </w:tcBorders>
            <w:noWrap/>
            <w:vAlign w:val="bottom"/>
            <w:hideMark/>
          </w:tcPr>
          <w:p w14:paraId="60AB8C25" w14:textId="39D181A6" w:rsidR="002C05B7" w:rsidRPr="002C05B7" w:rsidRDefault="002C05B7" w:rsidP="002C05B7">
            <w:pPr>
              <w:spacing w:after="0" w:line="240" w:lineRule="auto"/>
              <w:rPr>
                <w:rFonts w:ascii="Times New Roman" w:eastAsia="Times New Roman" w:hAnsi="Times New Roman" w:cs="Times New Roman"/>
                <w:b/>
                <w:bCs/>
                <w:sz w:val="18"/>
                <w:szCs w:val="18"/>
                <w:lang w:eastAsia="en-IN" w:bidi="bn-IN"/>
              </w:rPr>
            </w:pPr>
            <w:r w:rsidRPr="002C05B7">
              <w:rPr>
                <w:rFonts w:ascii="Times New Roman" w:eastAsia="Times New Roman" w:hAnsi="Times New Roman" w:cs="Times New Roman"/>
                <w:b/>
                <w:bCs/>
                <w:sz w:val="18"/>
                <w:szCs w:val="18"/>
                <w:lang w:eastAsia="en-IN" w:bidi="bn-IN"/>
              </w:rPr>
              <w:t>SOURCE:  DGCI&amp;S, M/o C&amp;I</w:t>
            </w:r>
          </w:p>
        </w:tc>
      </w:tr>
    </w:tbl>
    <w:p w14:paraId="303551C6" w14:textId="77777777" w:rsidR="002C05B7" w:rsidRDefault="002C05B7" w:rsidP="004E20E6">
      <w:pPr>
        <w:pStyle w:val="BodyText"/>
        <w:ind w:left="142" w:firstLine="720"/>
        <w:jc w:val="left"/>
        <w:rPr>
          <w:b/>
          <w:color w:val="00B0F0"/>
          <w:szCs w:val="24"/>
        </w:rPr>
      </w:pPr>
    </w:p>
    <w:p w14:paraId="088EE164" w14:textId="77777777" w:rsidR="002C05B7" w:rsidRDefault="002C05B7" w:rsidP="004E20E6">
      <w:pPr>
        <w:pStyle w:val="BodyText"/>
        <w:ind w:left="142" w:firstLine="720"/>
        <w:jc w:val="left"/>
        <w:rPr>
          <w:b/>
          <w:color w:val="00B0F0"/>
          <w:szCs w:val="24"/>
        </w:rPr>
      </w:pPr>
    </w:p>
    <w:p w14:paraId="6C695F3D" w14:textId="77777777" w:rsidR="002C05B7" w:rsidRDefault="002C05B7" w:rsidP="004E20E6">
      <w:pPr>
        <w:pStyle w:val="BodyText"/>
        <w:ind w:left="142" w:firstLine="720"/>
        <w:jc w:val="left"/>
        <w:rPr>
          <w:b/>
          <w:color w:val="00B0F0"/>
          <w:szCs w:val="24"/>
        </w:rPr>
      </w:pPr>
    </w:p>
    <w:p w14:paraId="2177A3EB" w14:textId="77777777" w:rsidR="004E20E6" w:rsidRDefault="004E20E6" w:rsidP="005E7402">
      <w:pPr>
        <w:pStyle w:val="BodyText"/>
        <w:ind w:left="142" w:firstLine="720"/>
        <w:jc w:val="center"/>
        <w:rPr>
          <w:b/>
          <w:color w:val="00B0F0"/>
          <w:szCs w:val="24"/>
        </w:rPr>
      </w:pPr>
    </w:p>
    <w:p w14:paraId="05D8327C" w14:textId="77777777" w:rsidR="004E20E6" w:rsidRDefault="004E20E6" w:rsidP="008B19EA">
      <w:pPr>
        <w:pStyle w:val="BodyText"/>
        <w:rPr>
          <w:b/>
          <w:color w:val="00B0F0"/>
          <w:szCs w:val="24"/>
        </w:rPr>
      </w:pPr>
    </w:p>
    <w:p w14:paraId="521576CB" w14:textId="77777777" w:rsidR="005E7402" w:rsidRPr="00C8476C" w:rsidRDefault="004E20E6" w:rsidP="005E7402">
      <w:pPr>
        <w:pStyle w:val="BodyText"/>
        <w:ind w:left="142" w:firstLine="720"/>
        <w:jc w:val="center"/>
        <w:rPr>
          <w:b/>
          <w:color w:val="00B0F0"/>
          <w:szCs w:val="24"/>
        </w:rPr>
      </w:pPr>
      <w:r w:rsidRPr="00C8476C">
        <w:rPr>
          <w:b/>
          <w:color w:val="00B0F0"/>
          <w:szCs w:val="24"/>
        </w:rPr>
        <w:t xml:space="preserve"> </w:t>
      </w:r>
      <w:r w:rsidR="005E7402" w:rsidRPr="00C8476C">
        <w:rPr>
          <w:b/>
          <w:color w:val="00B0F0"/>
          <w:szCs w:val="24"/>
        </w:rPr>
        <w:t>“NOTICE”</w:t>
      </w:r>
    </w:p>
    <w:p w14:paraId="1C7B28FC" w14:textId="77777777" w:rsidR="005E7402" w:rsidRPr="00C8476C" w:rsidRDefault="005E7402" w:rsidP="005E7402">
      <w:pPr>
        <w:pStyle w:val="BodyText"/>
        <w:ind w:left="142"/>
        <w:rPr>
          <w:b/>
          <w:color w:val="00B0F0"/>
          <w:szCs w:val="24"/>
        </w:rPr>
      </w:pPr>
      <w:r w:rsidRPr="00C8476C">
        <w:rPr>
          <w:b/>
          <w:color w:val="00B0F0"/>
          <w:szCs w:val="24"/>
        </w:rPr>
        <w:t>Rights of permission for reproduction in part or entirely of these official papers published in the Indian Trade Journal is reserved by the Directorate General of Commercial Intelligence &amp; Statistics, Kolkata – 700 107.</w:t>
      </w:r>
    </w:p>
    <w:sectPr w:rsidR="005E7402" w:rsidRPr="00C8476C" w:rsidSect="00D767EF">
      <w:footerReference w:type="default" r:id="rId10"/>
      <w:pgSz w:w="11906" w:h="16838"/>
      <w:pgMar w:top="432" w:right="418" w:bottom="432" w:left="43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7FFA7" w14:textId="77777777" w:rsidR="004814A3" w:rsidRDefault="004814A3" w:rsidP="009A5720">
      <w:pPr>
        <w:spacing w:after="0" w:line="240" w:lineRule="auto"/>
      </w:pPr>
      <w:r>
        <w:separator/>
      </w:r>
    </w:p>
  </w:endnote>
  <w:endnote w:type="continuationSeparator" w:id="0">
    <w:p w14:paraId="5C529D7D" w14:textId="77777777" w:rsidR="004814A3" w:rsidRDefault="004814A3" w:rsidP="009A5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639"/>
      <w:docPartObj>
        <w:docPartGallery w:val="Page Numbers (Bottom of Page)"/>
        <w:docPartUnique/>
      </w:docPartObj>
    </w:sdtPr>
    <w:sdtContent>
      <w:p w14:paraId="07712904" w14:textId="77777777" w:rsidR="002C05B7" w:rsidRDefault="002C05B7">
        <w:pPr>
          <w:pStyle w:val="Footer"/>
          <w:jc w:val="right"/>
        </w:pPr>
        <w:r>
          <w:t xml:space="preserve">Page | </w:t>
        </w:r>
        <w:r w:rsidR="00216843">
          <w:fldChar w:fldCharType="begin"/>
        </w:r>
        <w:r w:rsidR="00216843">
          <w:instrText xml:space="preserve"> PAGE   \* MERGEFORMAT </w:instrText>
        </w:r>
        <w:r w:rsidR="00216843">
          <w:fldChar w:fldCharType="separate"/>
        </w:r>
        <w:r w:rsidR="00216843">
          <w:rPr>
            <w:noProof/>
          </w:rPr>
          <w:t>1</w:t>
        </w:r>
        <w:r w:rsidR="00216843">
          <w:rPr>
            <w:noProof/>
          </w:rPr>
          <w:fldChar w:fldCharType="end"/>
        </w:r>
        <w:r>
          <w:t xml:space="preserve"> </w:t>
        </w:r>
      </w:p>
    </w:sdtContent>
  </w:sdt>
  <w:p w14:paraId="1B3F409E" w14:textId="77777777" w:rsidR="002C05B7" w:rsidRDefault="002C0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23223" w14:textId="77777777" w:rsidR="004814A3" w:rsidRDefault="004814A3" w:rsidP="009A5720">
      <w:pPr>
        <w:spacing w:after="0" w:line="240" w:lineRule="auto"/>
      </w:pPr>
      <w:r>
        <w:separator/>
      </w:r>
    </w:p>
  </w:footnote>
  <w:footnote w:type="continuationSeparator" w:id="0">
    <w:p w14:paraId="4B6C78D2" w14:textId="77777777" w:rsidR="004814A3" w:rsidRDefault="004814A3" w:rsidP="009A5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C7B10"/>
    <w:multiLevelType w:val="hybridMultilevel"/>
    <w:tmpl w:val="FEC8D564"/>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3A615CC"/>
    <w:multiLevelType w:val="hybridMultilevel"/>
    <w:tmpl w:val="72DE4122"/>
    <w:lvl w:ilvl="0" w:tplc="0A4C50C2">
      <w:start w:val="1"/>
      <w:numFmt w:val="lowerLetter"/>
      <w:lvlText w:val="%1."/>
      <w:lvlJc w:val="left"/>
      <w:pPr>
        <w:ind w:left="1434" w:hanging="360"/>
      </w:pPr>
      <w:rPr>
        <w:rFonts w:ascii="Times New Roman" w:eastAsia="Times New Roman" w:hAnsi="Times New Roman" w:cs="Times New Roman"/>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 w15:restartNumberingAfterBreak="0">
    <w:nsid w:val="4EE74806"/>
    <w:multiLevelType w:val="hybridMultilevel"/>
    <w:tmpl w:val="4BD46AF6"/>
    <w:lvl w:ilvl="0" w:tplc="E62E323A">
      <w:numFmt w:val="bullet"/>
      <w:lvlText w:val=""/>
      <w:lvlJc w:val="left"/>
      <w:pPr>
        <w:ind w:left="1080" w:hanging="360"/>
      </w:pPr>
      <w:rPr>
        <w:rFonts w:ascii="Symbol" w:eastAsia="Times New Roman"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501037B1"/>
    <w:multiLevelType w:val="multilevel"/>
    <w:tmpl w:val="9744959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AB2C9A"/>
    <w:multiLevelType w:val="multilevel"/>
    <w:tmpl w:val="AE183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69377A"/>
    <w:multiLevelType w:val="hybridMultilevel"/>
    <w:tmpl w:val="1FF43D9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88D7C0A"/>
    <w:multiLevelType w:val="hybridMultilevel"/>
    <w:tmpl w:val="B192E114"/>
    <w:lvl w:ilvl="0" w:tplc="8DFA391E">
      <w:numFmt w:val="bullet"/>
      <w:lvlText w:val=""/>
      <w:lvlJc w:val="left"/>
      <w:pPr>
        <w:ind w:left="1800" w:hanging="360"/>
      </w:pPr>
      <w:rPr>
        <w:rFonts w:ascii="Symbol" w:eastAsia="Times New Roman" w:hAnsi="Symbol" w:cs="Times New Roman"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16cid:durableId="924221410">
    <w:abstractNumId w:val="1"/>
  </w:num>
  <w:num w:numId="2" w16cid:durableId="650058820">
    <w:abstractNumId w:val="6"/>
  </w:num>
  <w:num w:numId="3" w16cid:durableId="1564633271">
    <w:abstractNumId w:val="0"/>
  </w:num>
  <w:num w:numId="4" w16cid:durableId="1661500270">
    <w:abstractNumId w:val="5"/>
  </w:num>
  <w:num w:numId="5" w16cid:durableId="854344488">
    <w:abstractNumId w:val="2"/>
  </w:num>
  <w:num w:numId="6" w16cid:durableId="731083226">
    <w:abstractNumId w:val="3"/>
  </w:num>
  <w:num w:numId="7" w16cid:durableId="668558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522E"/>
    <w:rsid w:val="00001A07"/>
    <w:rsid w:val="00001C0C"/>
    <w:rsid w:val="0000296A"/>
    <w:rsid w:val="00006424"/>
    <w:rsid w:val="00007CB2"/>
    <w:rsid w:val="000103EC"/>
    <w:rsid w:val="00012E6A"/>
    <w:rsid w:val="000131BF"/>
    <w:rsid w:val="00015B44"/>
    <w:rsid w:val="00016198"/>
    <w:rsid w:val="00017FA2"/>
    <w:rsid w:val="0002183C"/>
    <w:rsid w:val="00022645"/>
    <w:rsid w:val="00024862"/>
    <w:rsid w:val="0002513C"/>
    <w:rsid w:val="00026F0D"/>
    <w:rsid w:val="000304FA"/>
    <w:rsid w:val="00034720"/>
    <w:rsid w:val="00037339"/>
    <w:rsid w:val="00037B80"/>
    <w:rsid w:val="0004106E"/>
    <w:rsid w:val="00041E88"/>
    <w:rsid w:val="0004223B"/>
    <w:rsid w:val="00042F92"/>
    <w:rsid w:val="00044B9E"/>
    <w:rsid w:val="00052289"/>
    <w:rsid w:val="00052A38"/>
    <w:rsid w:val="000539CD"/>
    <w:rsid w:val="00054F39"/>
    <w:rsid w:val="00055FD9"/>
    <w:rsid w:val="0005765F"/>
    <w:rsid w:val="00062FCC"/>
    <w:rsid w:val="00064EE0"/>
    <w:rsid w:val="000760C8"/>
    <w:rsid w:val="00081164"/>
    <w:rsid w:val="00081565"/>
    <w:rsid w:val="000850E9"/>
    <w:rsid w:val="00086B89"/>
    <w:rsid w:val="00090DB5"/>
    <w:rsid w:val="00091697"/>
    <w:rsid w:val="00094BED"/>
    <w:rsid w:val="000A09F1"/>
    <w:rsid w:val="000A0F54"/>
    <w:rsid w:val="000A4451"/>
    <w:rsid w:val="000B26AB"/>
    <w:rsid w:val="000B2F80"/>
    <w:rsid w:val="000C1EC0"/>
    <w:rsid w:val="000C429A"/>
    <w:rsid w:val="000C4DF1"/>
    <w:rsid w:val="000D2DBD"/>
    <w:rsid w:val="000D62EB"/>
    <w:rsid w:val="000E13A0"/>
    <w:rsid w:val="000F197E"/>
    <w:rsid w:val="000F2CEC"/>
    <w:rsid w:val="00103538"/>
    <w:rsid w:val="00107C29"/>
    <w:rsid w:val="00114D2E"/>
    <w:rsid w:val="001153AB"/>
    <w:rsid w:val="00130C4A"/>
    <w:rsid w:val="00131553"/>
    <w:rsid w:val="00135057"/>
    <w:rsid w:val="00135B3D"/>
    <w:rsid w:val="00135F74"/>
    <w:rsid w:val="00136F1E"/>
    <w:rsid w:val="00137A5C"/>
    <w:rsid w:val="00145889"/>
    <w:rsid w:val="00146B33"/>
    <w:rsid w:val="0015235B"/>
    <w:rsid w:val="00156DDE"/>
    <w:rsid w:val="001579F4"/>
    <w:rsid w:val="00160238"/>
    <w:rsid w:val="00165751"/>
    <w:rsid w:val="0017463C"/>
    <w:rsid w:val="00191BFF"/>
    <w:rsid w:val="00196EBD"/>
    <w:rsid w:val="001A0740"/>
    <w:rsid w:val="001A0F59"/>
    <w:rsid w:val="001A14D5"/>
    <w:rsid w:val="001A1F2F"/>
    <w:rsid w:val="001A3165"/>
    <w:rsid w:val="001A5724"/>
    <w:rsid w:val="001B011F"/>
    <w:rsid w:val="001B26A9"/>
    <w:rsid w:val="001B777A"/>
    <w:rsid w:val="001C0A90"/>
    <w:rsid w:val="001C734C"/>
    <w:rsid w:val="001D7FE4"/>
    <w:rsid w:val="001E7C79"/>
    <w:rsid w:val="001F3389"/>
    <w:rsid w:val="001F35AF"/>
    <w:rsid w:val="001F7451"/>
    <w:rsid w:val="00205092"/>
    <w:rsid w:val="00206A9E"/>
    <w:rsid w:val="00206F6B"/>
    <w:rsid w:val="002107CE"/>
    <w:rsid w:val="00210F63"/>
    <w:rsid w:val="00211116"/>
    <w:rsid w:val="0021555C"/>
    <w:rsid w:val="00216843"/>
    <w:rsid w:val="00223FD7"/>
    <w:rsid w:val="002252B3"/>
    <w:rsid w:val="00225B13"/>
    <w:rsid w:val="0023212A"/>
    <w:rsid w:val="0024259A"/>
    <w:rsid w:val="00247739"/>
    <w:rsid w:val="002570A6"/>
    <w:rsid w:val="002572AC"/>
    <w:rsid w:val="00262659"/>
    <w:rsid w:val="0026406C"/>
    <w:rsid w:val="0026453E"/>
    <w:rsid w:val="0026594C"/>
    <w:rsid w:val="00266D3B"/>
    <w:rsid w:val="00274DDA"/>
    <w:rsid w:val="002774B6"/>
    <w:rsid w:val="00285907"/>
    <w:rsid w:val="00296A25"/>
    <w:rsid w:val="00297EC5"/>
    <w:rsid w:val="002A4AE4"/>
    <w:rsid w:val="002B19E7"/>
    <w:rsid w:val="002B1F31"/>
    <w:rsid w:val="002B2680"/>
    <w:rsid w:val="002B2702"/>
    <w:rsid w:val="002C05B7"/>
    <w:rsid w:val="002C7D6E"/>
    <w:rsid w:val="002D25C8"/>
    <w:rsid w:val="002D280F"/>
    <w:rsid w:val="002E4592"/>
    <w:rsid w:val="002E6A2D"/>
    <w:rsid w:val="002F05AD"/>
    <w:rsid w:val="002F4255"/>
    <w:rsid w:val="002F4503"/>
    <w:rsid w:val="002F68A7"/>
    <w:rsid w:val="00301BC2"/>
    <w:rsid w:val="00306A0C"/>
    <w:rsid w:val="00311288"/>
    <w:rsid w:val="00311C89"/>
    <w:rsid w:val="00311E62"/>
    <w:rsid w:val="003134AA"/>
    <w:rsid w:val="0031527C"/>
    <w:rsid w:val="00320DF4"/>
    <w:rsid w:val="00322D8C"/>
    <w:rsid w:val="00324F52"/>
    <w:rsid w:val="003259A2"/>
    <w:rsid w:val="0032640A"/>
    <w:rsid w:val="00340A56"/>
    <w:rsid w:val="00343549"/>
    <w:rsid w:val="00344BA1"/>
    <w:rsid w:val="00345982"/>
    <w:rsid w:val="003532D3"/>
    <w:rsid w:val="003551C4"/>
    <w:rsid w:val="00356384"/>
    <w:rsid w:val="00370F84"/>
    <w:rsid w:val="00370FCA"/>
    <w:rsid w:val="00372697"/>
    <w:rsid w:val="003773D9"/>
    <w:rsid w:val="00383F31"/>
    <w:rsid w:val="003871B3"/>
    <w:rsid w:val="00391FE6"/>
    <w:rsid w:val="003A0D60"/>
    <w:rsid w:val="003A166E"/>
    <w:rsid w:val="003A4F34"/>
    <w:rsid w:val="003A5C76"/>
    <w:rsid w:val="003B5A6C"/>
    <w:rsid w:val="003B608E"/>
    <w:rsid w:val="003B7F9A"/>
    <w:rsid w:val="003E0D6E"/>
    <w:rsid w:val="003E2E53"/>
    <w:rsid w:val="003E4713"/>
    <w:rsid w:val="003E478E"/>
    <w:rsid w:val="003F3F94"/>
    <w:rsid w:val="003F713D"/>
    <w:rsid w:val="00401953"/>
    <w:rsid w:val="004022DC"/>
    <w:rsid w:val="0040405E"/>
    <w:rsid w:val="00404825"/>
    <w:rsid w:val="00417B52"/>
    <w:rsid w:val="00423321"/>
    <w:rsid w:val="0042445D"/>
    <w:rsid w:val="00424829"/>
    <w:rsid w:val="00425E1E"/>
    <w:rsid w:val="0042630C"/>
    <w:rsid w:val="00426822"/>
    <w:rsid w:val="00426B2E"/>
    <w:rsid w:val="00433DEB"/>
    <w:rsid w:val="004343D1"/>
    <w:rsid w:val="004346B3"/>
    <w:rsid w:val="00441630"/>
    <w:rsid w:val="00441C32"/>
    <w:rsid w:val="00442381"/>
    <w:rsid w:val="0044285A"/>
    <w:rsid w:val="00450D59"/>
    <w:rsid w:val="00451F88"/>
    <w:rsid w:val="00461AB1"/>
    <w:rsid w:val="00461C1E"/>
    <w:rsid w:val="0046522E"/>
    <w:rsid w:val="0046672E"/>
    <w:rsid w:val="00470C5C"/>
    <w:rsid w:val="0047131F"/>
    <w:rsid w:val="0047200C"/>
    <w:rsid w:val="00476C0B"/>
    <w:rsid w:val="004808F0"/>
    <w:rsid w:val="00480C1C"/>
    <w:rsid w:val="004814A3"/>
    <w:rsid w:val="004839E8"/>
    <w:rsid w:val="004857AE"/>
    <w:rsid w:val="004904FA"/>
    <w:rsid w:val="00491C7B"/>
    <w:rsid w:val="004946C3"/>
    <w:rsid w:val="00494BA8"/>
    <w:rsid w:val="00497A1E"/>
    <w:rsid w:val="004A030C"/>
    <w:rsid w:val="004B085C"/>
    <w:rsid w:val="004B447B"/>
    <w:rsid w:val="004B6FCC"/>
    <w:rsid w:val="004B7E0E"/>
    <w:rsid w:val="004B7F30"/>
    <w:rsid w:val="004C2616"/>
    <w:rsid w:val="004C2F08"/>
    <w:rsid w:val="004C482B"/>
    <w:rsid w:val="004C5757"/>
    <w:rsid w:val="004C6026"/>
    <w:rsid w:val="004C7732"/>
    <w:rsid w:val="004E1A77"/>
    <w:rsid w:val="004E20E6"/>
    <w:rsid w:val="004E39F9"/>
    <w:rsid w:val="004E6422"/>
    <w:rsid w:val="004F07C9"/>
    <w:rsid w:val="004F2F75"/>
    <w:rsid w:val="004F75CF"/>
    <w:rsid w:val="00502250"/>
    <w:rsid w:val="00503EC7"/>
    <w:rsid w:val="00503F1C"/>
    <w:rsid w:val="00510184"/>
    <w:rsid w:val="00512303"/>
    <w:rsid w:val="0052549C"/>
    <w:rsid w:val="00534D9A"/>
    <w:rsid w:val="00536BFC"/>
    <w:rsid w:val="00541F88"/>
    <w:rsid w:val="005433D4"/>
    <w:rsid w:val="00550AE3"/>
    <w:rsid w:val="00550B42"/>
    <w:rsid w:val="00551A5F"/>
    <w:rsid w:val="00555BAA"/>
    <w:rsid w:val="005707B1"/>
    <w:rsid w:val="0057245F"/>
    <w:rsid w:val="00576702"/>
    <w:rsid w:val="00576A3B"/>
    <w:rsid w:val="00580057"/>
    <w:rsid w:val="0059082C"/>
    <w:rsid w:val="00590A07"/>
    <w:rsid w:val="00591CFC"/>
    <w:rsid w:val="00592AEF"/>
    <w:rsid w:val="00593230"/>
    <w:rsid w:val="00593298"/>
    <w:rsid w:val="00594DA6"/>
    <w:rsid w:val="005A6951"/>
    <w:rsid w:val="005B1263"/>
    <w:rsid w:val="005B1727"/>
    <w:rsid w:val="005B193F"/>
    <w:rsid w:val="005B3304"/>
    <w:rsid w:val="005C2FC6"/>
    <w:rsid w:val="005C38DD"/>
    <w:rsid w:val="005C74C5"/>
    <w:rsid w:val="005D1A0F"/>
    <w:rsid w:val="005E0E06"/>
    <w:rsid w:val="005E4073"/>
    <w:rsid w:val="005E6BD7"/>
    <w:rsid w:val="005E6DA1"/>
    <w:rsid w:val="005E7402"/>
    <w:rsid w:val="005F1572"/>
    <w:rsid w:val="005F27F2"/>
    <w:rsid w:val="00600F5E"/>
    <w:rsid w:val="006110C2"/>
    <w:rsid w:val="006133E2"/>
    <w:rsid w:val="00614B67"/>
    <w:rsid w:val="006179B8"/>
    <w:rsid w:val="006217AC"/>
    <w:rsid w:val="00622AD9"/>
    <w:rsid w:val="0062305A"/>
    <w:rsid w:val="00624579"/>
    <w:rsid w:val="006312A5"/>
    <w:rsid w:val="0063321D"/>
    <w:rsid w:val="0063438C"/>
    <w:rsid w:val="00634D8E"/>
    <w:rsid w:val="00636BCB"/>
    <w:rsid w:val="0063763B"/>
    <w:rsid w:val="00637EC3"/>
    <w:rsid w:val="006400D2"/>
    <w:rsid w:val="00656A84"/>
    <w:rsid w:val="006611F4"/>
    <w:rsid w:val="006635D1"/>
    <w:rsid w:val="0066588A"/>
    <w:rsid w:val="00673FAA"/>
    <w:rsid w:val="00684FCD"/>
    <w:rsid w:val="0069358F"/>
    <w:rsid w:val="00693D68"/>
    <w:rsid w:val="006A06AF"/>
    <w:rsid w:val="006A451C"/>
    <w:rsid w:val="006A52B6"/>
    <w:rsid w:val="006A5860"/>
    <w:rsid w:val="006B1331"/>
    <w:rsid w:val="006B2A5D"/>
    <w:rsid w:val="006B36AA"/>
    <w:rsid w:val="006C52F3"/>
    <w:rsid w:val="006C6BA4"/>
    <w:rsid w:val="006D4C08"/>
    <w:rsid w:val="006E1CE4"/>
    <w:rsid w:val="006E6256"/>
    <w:rsid w:val="006F32F6"/>
    <w:rsid w:val="006F379E"/>
    <w:rsid w:val="006F4EF3"/>
    <w:rsid w:val="006F5D49"/>
    <w:rsid w:val="006F79AB"/>
    <w:rsid w:val="006F7D21"/>
    <w:rsid w:val="00700CA7"/>
    <w:rsid w:val="0070124B"/>
    <w:rsid w:val="00711EB1"/>
    <w:rsid w:val="00712368"/>
    <w:rsid w:val="007357F2"/>
    <w:rsid w:val="00735D67"/>
    <w:rsid w:val="007360C1"/>
    <w:rsid w:val="00743AE1"/>
    <w:rsid w:val="007517D6"/>
    <w:rsid w:val="00753EE7"/>
    <w:rsid w:val="00757335"/>
    <w:rsid w:val="00760E9E"/>
    <w:rsid w:val="0077216A"/>
    <w:rsid w:val="0077218A"/>
    <w:rsid w:val="00780F8F"/>
    <w:rsid w:val="00782667"/>
    <w:rsid w:val="00786ED6"/>
    <w:rsid w:val="00794620"/>
    <w:rsid w:val="0079772B"/>
    <w:rsid w:val="007978CC"/>
    <w:rsid w:val="007A1C11"/>
    <w:rsid w:val="007A294E"/>
    <w:rsid w:val="007A50BA"/>
    <w:rsid w:val="007A52C6"/>
    <w:rsid w:val="007A5E3E"/>
    <w:rsid w:val="007A60F8"/>
    <w:rsid w:val="007B1865"/>
    <w:rsid w:val="007B18EB"/>
    <w:rsid w:val="007B22A7"/>
    <w:rsid w:val="007B72E9"/>
    <w:rsid w:val="007C1991"/>
    <w:rsid w:val="007D3D1B"/>
    <w:rsid w:val="007E57BC"/>
    <w:rsid w:val="007E6E4F"/>
    <w:rsid w:val="007F261F"/>
    <w:rsid w:val="007F37F2"/>
    <w:rsid w:val="00801EB5"/>
    <w:rsid w:val="00806FE2"/>
    <w:rsid w:val="0081060C"/>
    <w:rsid w:val="00812F94"/>
    <w:rsid w:val="0081630C"/>
    <w:rsid w:val="00820ECF"/>
    <w:rsid w:val="0082519B"/>
    <w:rsid w:val="008257A4"/>
    <w:rsid w:val="008276FD"/>
    <w:rsid w:val="00835D40"/>
    <w:rsid w:val="0084297C"/>
    <w:rsid w:val="00845875"/>
    <w:rsid w:val="00851CC3"/>
    <w:rsid w:val="008523A7"/>
    <w:rsid w:val="00853453"/>
    <w:rsid w:val="0087291A"/>
    <w:rsid w:val="00874AA1"/>
    <w:rsid w:val="00875594"/>
    <w:rsid w:val="00875BBC"/>
    <w:rsid w:val="008762EB"/>
    <w:rsid w:val="008812C1"/>
    <w:rsid w:val="00881947"/>
    <w:rsid w:val="00881D5A"/>
    <w:rsid w:val="00882C73"/>
    <w:rsid w:val="00882D15"/>
    <w:rsid w:val="00890BFE"/>
    <w:rsid w:val="00893965"/>
    <w:rsid w:val="008A089B"/>
    <w:rsid w:val="008A76FB"/>
    <w:rsid w:val="008B19EA"/>
    <w:rsid w:val="008B214F"/>
    <w:rsid w:val="008B76B9"/>
    <w:rsid w:val="008C2F4E"/>
    <w:rsid w:val="008C3150"/>
    <w:rsid w:val="008C6A2B"/>
    <w:rsid w:val="008C75F1"/>
    <w:rsid w:val="008E096F"/>
    <w:rsid w:val="008E4B46"/>
    <w:rsid w:val="008F0C8F"/>
    <w:rsid w:val="008F1126"/>
    <w:rsid w:val="008F2A64"/>
    <w:rsid w:val="0090736E"/>
    <w:rsid w:val="0091352F"/>
    <w:rsid w:val="00916E55"/>
    <w:rsid w:val="009203B9"/>
    <w:rsid w:val="009209DB"/>
    <w:rsid w:val="00925E4B"/>
    <w:rsid w:val="00930257"/>
    <w:rsid w:val="0093054E"/>
    <w:rsid w:val="0093747C"/>
    <w:rsid w:val="009407D8"/>
    <w:rsid w:val="00941813"/>
    <w:rsid w:val="0094327C"/>
    <w:rsid w:val="00943309"/>
    <w:rsid w:val="009524D0"/>
    <w:rsid w:val="00952FC1"/>
    <w:rsid w:val="00954CEC"/>
    <w:rsid w:val="00962C56"/>
    <w:rsid w:val="00963D41"/>
    <w:rsid w:val="00977AFA"/>
    <w:rsid w:val="00982899"/>
    <w:rsid w:val="00984B4F"/>
    <w:rsid w:val="00992AE0"/>
    <w:rsid w:val="00992BA8"/>
    <w:rsid w:val="009966CD"/>
    <w:rsid w:val="009A18D4"/>
    <w:rsid w:val="009A1981"/>
    <w:rsid w:val="009A5651"/>
    <w:rsid w:val="009A5720"/>
    <w:rsid w:val="009B450E"/>
    <w:rsid w:val="009B4F69"/>
    <w:rsid w:val="009B6931"/>
    <w:rsid w:val="009C0666"/>
    <w:rsid w:val="009C3659"/>
    <w:rsid w:val="009D0029"/>
    <w:rsid w:val="009D19DD"/>
    <w:rsid w:val="009D2BF2"/>
    <w:rsid w:val="009D655E"/>
    <w:rsid w:val="009E138B"/>
    <w:rsid w:val="009F041E"/>
    <w:rsid w:val="009F1537"/>
    <w:rsid w:val="009F61D8"/>
    <w:rsid w:val="009F7CBB"/>
    <w:rsid w:val="00A008DB"/>
    <w:rsid w:val="00A0397D"/>
    <w:rsid w:val="00A04B10"/>
    <w:rsid w:val="00A10DF4"/>
    <w:rsid w:val="00A11859"/>
    <w:rsid w:val="00A14CA7"/>
    <w:rsid w:val="00A16853"/>
    <w:rsid w:val="00A203CA"/>
    <w:rsid w:val="00A24541"/>
    <w:rsid w:val="00A3547C"/>
    <w:rsid w:val="00A413B0"/>
    <w:rsid w:val="00A42F99"/>
    <w:rsid w:val="00A462C5"/>
    <w:rsid w:val="00A548C6"/>
    <w:rsid w:val="00A54979"/>
    <w:rsid w:val="00A54B20"/>
    <w:rsid w:val="00A60844"/>
    <w:rsid w:val="00A62255"/>
    <w:rsid w:val="00A63B23"/>
    <w:rsid w:val="00A6707E"/>
    <w:rsid w:val="00A7065E"/>
    <w:rsid w:val="00A715A5"/>
    <w:rsid w:val="00A72E6F"/>
    <w:rsid w:val="00A73436"/>
    <w:rsid w:val="00A73977"/>
    <w:rsid w:val="00A801F3"/>
    <w:rsid w:val="00A80AE3"/>
    <w:rsid w:val="00A82D71"/>
    <w:rsid w:val="00A82FAC"/>
    <w:rsid w:val="00A853A7"/>
    <w:rsid w:val="00A8694F"/>
    <w:rsid w:val="00A90882"/>
    <w:rsid w:val="00A914D1"/>
    <w:rsid w:val="00A93459"/>
    <w:rsid w:val="00A95EEB"/>
    <w:rsid w:val="00A97A0D"/>
    <w:rsid w:val="00AA57DC"/>
    <w:rsid w:val="00AB1463"/>
    <w:rsid w:val="00AB4D1E"/>
    <w:rsid w:val="00AC0230"/>
    <w:rsid w:val="00AC4D71"/>
    <w:rsid w:val="00AC53F4"/>
    <w:rsid w:val="00AC7555"/>
    <w:rsid w:val="00AD07B5"/>
    <w:rsid w:val="00AD13D9"/>
    <w:rsid w:val="00AD419F"/>
    <w:rsid w:val="00AE0B1D"/>
    <w:rsid w:val="00AE1A27"/>
    <w:rsid w:val="00AE1BF9"/>
    <w:rsid w:val="00AF1C07"/>
    <w:rsid w:val="00AF27DA"/>
    <w:rsid w:val="00AF3DF7"/>
    <w:rsid w:val="00B0348F"/>
    <w:rsid w:val="00B03D09"/>
    <w:rsid w:val="00B0699A"/>
    <w:rsid w:val="00B17BD3"/>
    <w:rsid w:val="00B2236C"/>
    <w:rsid w:val="00B234E5"/>
    <w:rsid w:val="00B24D9B"/>
    <w:rsid w:val="00B25DD2"/>
    <w:rsid w:val="00B275EC"/>
    <w:rsid w:val="00B30AC3"/>
    <w:rsid w:val="00B31276"/>
    <w:rsid w:val="00B34971"/>
    <w:rsid w:val="00B36F3C"/>
    <w:rsid w:val="00B4097C"/>
    <w:rsid w:val="00B46839"/>
    <w:rsid w:val="00B5154D"/>
    <w:rsid w:val="00B62117"/>
    <w:rsid w:val="00B6223F"/>
    <w:rsid w:val="00B74B1F"/>
    <w:rsid w:val="00B761C2"/>
    <w:rsid w:val="00B766AF"/>
    <w:rsid w:val="00B77EFF"/>
    <w:rsid w:val="00B820A6"/>
    <w:rsid w:val="00B836D5"/>
    <w:rsid w:val="00B85C07"/>
    <w:rsid w:val="00B861AC"/>
    <w:rsid w:val="00B86290"/>
    <w:rsid w:val="00B978C0"/>
    <w:rsid w:val="00BA284F"/>
    <w:rsid w:val="00BA7557"/>
    <w:rsid w:val="00BA79A6"/>
    <w:rsid w:val="00BB6E4D"/>
    <w:rsid w:val="00BC0B52"/>
    <w:rsid w:val="00BC155E"/>
    <w:rsid w:val="00BC32CE"/>
    <w:rsid w:val="00BC6D59"/>
    <w:rsid w:val="00BC7F25"/>
    <w:rsid w:val="00BD03E2"/>
    <w:rsid w:val="00BD0AB4"/>
    <w:rsid w:val="00BD1461"/>
    <w:rsid w:val="00BD3E21"/>
    <w:rsid w:val="00BE233A"/>
    <w:rsid w:val="00BE409E"/>
    <w:rsid w:val="00BE61C0"/>
    <w:rsid w:val="00BF6B51"/>
    <w:rsid w:val="00C00180"/>
    <w:rsid w:val="00C00B8C"/>
    <w:rsid w:val="00C0105B"/>
    <w:rsid w:val="00C0170A"/>
    <w:rsid w:val="00C02DA5"/>
    <w:rsid w:val="00C0610F"/>
    <w:rsid w:val="00C0638A"/>
    <w:rsid w:val="00C06434"/>
    <w:rsid w:val="00C10C12"/>
    <w:rsid w:val="00C12897"/>
    <w:rsid w:val="00C149B8"/>
    <w:rsid w:val="00C1623F"/>
    <w:rsid w:val="00C169B5"/>
    <w:rsid w:val="00C21F86"/>
    <w:rsid w:val="00C23C5C"/>
    <w:rsid w:val="00C248AD"/>
    <w:rsid w:val="00C24F82"/>
    <w:rsid w:val="00C24FE9"/>
    <w:rsid w:val="00C34C61"/>
    <w:rsid w:val="00C361D5"/>
    <w:rsid w:val="00C37C48"/>
    <w:rsid w:val="00C454E0"/>
    <w:rsid w:val="00C504DE"/>
    <w:rsid w:val="00C51B8E"/>
    <w:rsid w:val="00C56849"/>
    <w:rsid w:val="00C60913"/>
    <w:rsid w:val="00C72D67"/>
    <w:rsid w:val="00C74117"/>
    <w:rsid w:val="00C74659"/>
    <w:rsid w:val="00C758EB"/>
    <w:rsid w:val="00C764AC"/>
    <w:rsid w:val="00C77138"/>
    <w:rsid w:val="00C80DD4"/>
    <w:rsid w:val="00C8476C"/>
    <w:rsid w:val="00C9261E"/>
    <w:rsid w:val="00C9298E"/>
    <w:rsid w:val="00C9381F"/>
    <w:rsid w:val="00C94640"/>
    <w:rsid w:val="00CA1905"/>
    <w:rsid w:val="00CC4E5F"/>
    <w:rsid w:val="00CC5B5D"/>
    <w:rsid w:val="00CC5EF0"/>
    <w:rsid w:val="00CD19B7"/>
    <w:rsid w:val="00CD6A35"/>
    <w:rsid w:val="00CD7313"/>
    <w:rsid w:val="00CE5C88"/>
    <w:rsid w:val="00CF1D09"/>
    <w:rsid w:val="00CF4405"/>
    <w:rsid w:val="00CF5642"/>
    <w:rsid w:val="00CF5D08"/>
    <w:rsid w:val="00D03EE8"/>
    <w:rsid w:val="00D059B2"/>
    <w:rsid w:val="00D11A2A"/>
    <w:rsid w:val="00D12B7B"/>
    <w:rsid w:val="00D2382F"/>
    <w:rsid w:val="00D23836"/>
    <w:rsid w:val="00D23C88"/>
    <w:rsid w:val="00D30B44"/>
    <w:rsid w:val="00D310B1"/>
    <w:rsid w:val="00D334DB"/>
    <w:rsid w:val="00D3601A"/>
    <w:rsid w:val="00D45A61"/>
    <w:rsid w:val="00D47C54"/>
    <w:rsid w:val="00D47F7A"/>
    <w:rsid w:val="00D56EC9"/>
    <w:rsid w:val="00D65E69"/>
    <w:rsid w:val="00D7124E"/>
    <w:rsid w:val="00D7481E"/>
    <w:rsid w:val="00D767EF"/>
    <w:rsid w:val="00D76A4C"/>
    <w:rsid w:val="00D77A7A"/>
    <w:rsid w:val="00D81A45"/>
    <w:rsid w:val="00D83A62"/>
    <w:rsid w:val="00D84A34"/>
    <w:rsid w:val="00D864CC"/>
    <w:rsid w:val="00D8751E"/>
    <w:rsid w:val="00D9556E"/>
    <w:rsid w:val="00DA4688"/>
    <w:rsid w:val="00DB0467"/>
    <w:rsid w:val="00DB0F6E"/>
    <w:rsid w:val="00DB1021"/>
    <w:rsid w:val="00DB1E68"/>
    <w:rsid w:val="00DB3611"/>
    <w:rsid w:val="00DB7ED2"/>
    <w:rsid w:val="00DC0DF7"/>
    <w:rsid w:val="00DC5987"/>
    <w:rsid w:val="00DC65EE"/>
    <w:rsid w:val="00DD03B5"/>
    <w:rsid w:val="00DD728E"/>
    <w:rsid w:val="00DD72B3"/>
    <w:rsid w:val="00DE0D81"/>
    <w:rsid w:val="00DE3BBC"/>
    <w:rsid w:val="00DE5722"/>
    <w:rsid w:val="00DE5CBC"/>
    <w:rsid w:val="00DE743C"/>
    <w:rsid w:val="00DE7B3E"/>
    <w:rsid w:val="00DF1D29"/>
    <w:rsid w:val="00DF55DB"/>
    <w:rsid w:val="00E03BD3"/>
    <w:rsid w:val="00E10DA8"/>
    <w:rsid w:val="00E12364"/>
    <w:rsid w:val="00E1536E"/>
    <w:rsid w:val="00E16508"/>
    <w:rsid w:val="00E21D32"/>
    <w:rsid w:val="00E24601"/>
    <w:rsid w:val="00E2602E"/>
    <w:rsid w:val="00E308C7"/>
    <w:rsid w:val="00E32105"/>
    <w:rsid w:val="00E40172"/>
    <w:rsid w:val="00E41504"/>
    <w:rsid w:val="00E4317D"/>
    <w:rsid w:val="00E47345"/>
    <w:rsid w:val="00E47A52"/>
    <w:rsid w:val="00E52674"/>
    <w:rsid w:val="00E52CD6"/>
    <w:rsid w:val="00E743C1"/>
    <w:rsid w:val="00E75428"/>
    <w:rsid w:val="00E80C97"/>
    <w:rsid w:val="00E81EED"/>
    <w:rsid w:val="00E81F69"/>
    <w:rsid w:val="00E915EE"/>
    <w:rsid w:val="00E92F35"/>
    <w:rsid w:val="00E94392"/>
    <w:rsid w:val="00E95C35"/>
    <w:rsid w:val="00EB029D"/>
    <w:rsid w:val="00EB6F85"/>
    <w:rsid w:val="00EC43C7"/>
    <w:rsid w:val="00ED2A40"/>
    <w:rsid w:val="00ED38CF"/>
    <w:rsid w:val="00ED66E2"/>
    <w:rsid w:val="00EE06A6"/>
    <w:rsid w:val="00EE3805"/>
    <w:rsid w:val="00EF2CB8"/>
    <w:rsid w:val="00EF3116"/>
    <w:rsid w:val="00F011F4"/>
    <w:rsid w:val="00F11B48"/>
    <w:rsid w:val="00F21E62"/>
    <w:rsid w:val="00F267FD"/>
    <w:rsid w:val="00F30CA4"/>
    <w:rsid w:val="00F310A4"/>
    <w:rsid w:val="00F35EEB"/>
    <w:rsid w:val="00F363B4"/>
    <w:rsid w:val="00F4331E"/>
    <w:rsid w:val="00F47DAA"/>
    <w:rsid w:val="00F5464F"/>
    <w:rsid w:val="00F56169"/>
    <w:rsid w:val="00F61161"/>
    <w:rsid w:val="00F678ED"/>
    <w:rsid w:val="00F70E35"/>
    <w:rsid w:val="00F72448"/>
    <w:rsid w:val="00F724EB"/>
    <w:rsid w:val="00F72547"/>
    <w:rsid w:val="00F7328B"/>
    <w:rsid w:val="00F7710A"/>
    <w:rsid w:val="00F83218"/>
    <w:rsid w:val="00F865CA"/>
    <w:rsid w:val="00F9237B"/>
    <w:rsid w:val="00F9462B"/>
    <w:rsid w:val="00FA1D5E"/>
    <w:rsid w:val="00FA552E"/>
    <w:rsid w:val="00FA5922"/>
    <w:rsid w:val="00FA6ECE"/>
    <w:rsid w:val="00FB18D6"/>
    <w:rsid w:val="00FB3278"/>
    <w:rsid w:val="00FB5B44"/>
    <w:rsid w:val="00FB5BE8"/>
    <w:rsid w:val="00FC37AE"/>
    <w:rsid w:val="00FC7CC5"/>
    <w:rsid w:val="00FD6365"/>
    <w:rsid w:val="00FE034A"/>
    <w:rsid w:val="00FF16DF"/>
    <w:rsid w:val="00FF4131"/>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AD81D"/>
  <w15:docId w15:val="{B6FB860C-9456-4D2C-B875-C2130EB0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F08"/>
  </w:style>
  <w:style w:type="paragraph" w:styleId="Heading2">
    <w:name w:val="heading 2"/>
    <w:basedOn w:val="Normal"/>
    <w:link w:val="Heading2Char"/>
    <w:uiPriority w:val="9"/>
    <w:qFormat/>
    <w:rsid w:val="0046522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4652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522E"/>
    <w:rPr>
      <w:rFonts w:ascii="Times New Roman" w:eastAsia="Times New Roman" w:hAnsi="Times New Roman" w:cs="Times New Roman"/>
      <w:b/>
      <w:bCs/>
      <w:sz w:val="36"/>
      <w:szCs w:val="36"/>
      <w:lang w:eastAsia="en-IN"/>
    </w:rPr>
  </w:style>
  <w:style w:type="paragraph" w:customStyle="1" w:styleId="Date1">
    <w:name w:val="Date1"/>
    <w:basedOn w:val="Normal"/>
    <w:rsid w:val="0046522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unhideWhenUsed/>
    <w:rsid w:val="0046522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6522E"/>
    <w:rPr>
      <w:b/>
      <w:bCs/>
    </w:rPr>
  </w:style>
  <w:style w:type="character" w:styleId="Hyperlink">
    <w:name w:val="Hyperlink"/>
    <w:basedOn w:val="DefaultParagraphFont"/>
    <w:uiPriority w:val="99"/>
    <w:unhideWhenUsed/>
    <w:rsid w:val="0046522E"/>
    <w:rPr>
      <w:color w:val="0000FF"/>
      <w:u w:val="single"/>
    </w:rPr>
  </w:style>
  <w:style w:type="character" w:customStyle="1" w:styleId="Heading3Char">
    <w:name w:val="Heading 3 Char"/>
    <w:basedOn w:val="DefaultParagraphFont"/>
    <w:link w:val="Heading3"/>
    <w:uiPriority w:val="9"/>
    <w:semiHidden/>
    <w:rsid w:val="0046522E"/>
    <w:rPr>
      <w:rFonts w:asciiTheme="majorHAnsi" w:eastAsiaTheme="majorEastAsia" w:hAnsiTheme="majorHAnsi" w:cstheme="majorBidi"/>
      <w:b/>
      <w:bCs/>
      <w:color w:val="4F81BD" w:themeColor="accent1"/>
    </w:rPr>
  </w:style>
  <w:style w:type="character" w:customStyle="1" w:styleId="card-exposedtext">
    <w:name w:val="card-exposed__text"/>
    <w:basedOn w:val="DefaultParagraphFont"/>
    <w:rsid w:val="0046522E"/>
  </w:style>
  <w:style w:type="table" w:styleId="TableGrid">
    <w:name w:val="Table Grid"/>
    <w:basedOn w:val="TableNormal"/>
    <w:uiPriority w:val="59"/>
    <w:rsid w:val="00191B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C9298E"/>
    <w:pPr>
      <w:spacing w:after="0" w:line="240" w:lineRule="auto"/>
      <w:jc w:val="center"/>
    </w:pPr>
    <w:rPr>
      <w:rFonts w:ascii="Times New Roman" w:eastAsia="Times New Roman" w:hAnsi="Times New Roman" w:cs="Times New Roman"/>
      <w:sz w:val="28"/>
      <w:szCs w:val="20"/>
      <w:lang w:val="en-US"/>
    </w:rPr>
  </w:style>
  <w:style w:type="character" w:customStyle="1" w:styleId="TitleChar">
    <w:name w:val="Title Char"/>
    <w:basedOn w:val="DefaultParagraphFont"/>
    <w:link w:val="Title"/>
    <w:rsid w:val="00C9298E"/>
    <w:rPr>
      <w:rFonts w:ascii="Times New Roman" w:eastAsia="Times New Roman" w:hAnsi="Times New Roman" w:cs="Times New Roman"/>
      <w:sz w:val="28"/>
      <w:szCs w:val="20"/>
      <w:lang w:val="en-US"/>
    </w:rPr>
  </w:style>
  <w:style w:type="paragraph" w:styleId="BodyText">
    <w:name w:val="Body Text"/>
    <w:basedOn w:val="Normal"/>
    <w:link w:val="BodyTextChar"/>
    <w:rsid w:val="00C9298E"/>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C9298E"/>
    <w:rPr>
      <w:rFonts w:ascii="Times New Roman" w:eastAsia="Times New Roman" w:hAnsi="Times New Roman" w:cs="Times New Roman"/>
      <w:sz w:val="24"/>
      <w:szCs w:val="20"/>
      <w:lang w:val="en-US"/>
    </w:rPr>
  </w:style>
  <w:style w:type="character" w:customStyle="1" w:styleId="adr">
    <w:name w:val="adr"/>
    <w:basedOn w:val="DefaultParagraphFont"/>
    <w:rsid w:val="00C9298E"/>
  </w:style>
  <w:style w:type="character" w:customStyle="1" w:styleId="d-inline-block">
    <w:name w:val="d-inline-block"/>
    <w:basedOn w:val="DefaultParagraphFont"/>
    <w:rsid w:val="00C9298E"/>
  </w:style>
  <w:style w:type="paragraph" w:styleId="HTMLAddress">
    <w:name w:val="HTML Address"/>
    <w:basedOn w:val="Normal"/>
    <w:link w:val="HTMLAddressChar"/>
    <w:uiPriority w:val="99"/>
    <w:semiHidden/>
    <w:unhideWhenUsed/>
    <w:rsid w:val="00DC5987"/>
    <w:pPr>
      <w:spacing w:after="0" w:line="240" w:lineRule="auto"/>
    </w:pPr>
    <w:rPr>
      <w:rFonts w:ascii="Times New Roman" w:eastAsia="Times New Roman" w:hAnsi="Times New Roman" w:cs="Times New Roman"/>
      <w:i/>
      <w:iCs/>
      <w:sz w:val="24"/>
      <w:szCs w:val="24"/>
      <w:lang w:val="en-US"/>
    </w:rPr>
  </w:style>
  <w:style w:type="character" w:customStyle="1" w:styleId="HTMLAddressChar">
    <w:name w:val="HTML Address Char"/>
    <w:basedOn w:val="DefaultParagraphFont"/>
    <w:link w:val="HTMLAddress"/>
    <w:uiPriority w:val="99"/>
    <w:semiHidden/>
    <w:rsid w:val="00DC5987"/>
    <w:rPr>
      <w:rFonts w:ascii="Times New Roman" w:eastAsia="Times New Roman" w:hAnsi="Times New Roman" w:cs="Times New Roman"/>
      <w:i/>
      <w:iCs/>
      <w:sz w:val="24"/>
      <w:szCs w:val="24"/>
      <w:lang w:val="en-US"/>
    </w:rPr>
  </w:style>
  <w:style w:type="paragraph" w:customStyle="1" w:styleId="Date10">
    <w:name w:val="Date1"/>
    <w:basedOn w:val="Normal"/>
    <w:rsid w:val="00684FC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684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FCD"/>
  </w:style>
  <w:style w:type="paragraph" w:styleId="Footer">
    <w:name w:val="footer"/>
    <w:basedOn w:val="Normal"/>
    <w:link w:val="FooterChar"/>
    <w:uiPriority w:val="99"/>
    <w:unhideWhenUsed/>
    <w:rsid w:val="00684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FCD"/>
  </w:style>
  <w:style w:type="character" w:styleId="Emphasis">
    <w:name w:val="Emphasis"/>
    <w:basedOn w:val="DefaultParagraphFont"/>
    <w:uiPriority w:val="20"/>
    <w:qFormat/>
    <w:rsid w:val="00C00180"/>
    <w:rPr>
      <w:i/>
      <w:iCs/>
    </w:rPr>
  </w:style>
  <w:style w:type="paragraph" w:styleId="BalloonText">
    <w:name w:val="Balloon Text"/>
    <w:basedOn w:val="Normal"/>
    <w:link w:val="BalloonTextChar"/>
    <w:uiPriority w:val="99"/>
    <w:semiHidden/>
    <w:unhideWhenUsed/>
    <w:rsid w:val="00062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FCC"/>
    <w:rPr>
      <w:rFonts w:ascii="Tahoma" w:hAnsi="Tahoma" w:cs="Tahoma"/>
      <w:sz w:val="16"/>
      <w:szCs w:val="16"/>
    </w:rPr>
  </w:style>
  <w:style w:type="character" w:customStyle="1" w:styleId="hgkelc">
    <w:name w:val="hgkelc"/>
    <w:basedOn w:val="DefaultParagraphFont"/>
    <w:rsid w:val="00DE5722"/>
  </w:style>
  <w:style w:type="paragraph" w:styleId="ListParagraph">
    <w:name w:val="List Paragraph"/>
    <w:basedOn w:val="Normal"/>
    <w:uiPriority w:val="34"/>
    <w:qFormat/>
    <w:rsid w:val="009C3659"/>
    <w:pPr>
      <w:ind w:left="720"/>
      <w:contextualSpacing/>
    </w:pPr>
  </w:style>
  <w:style w:type="character" w:customStyle="1" w:styleId="whitespace-normal">
    <w:name w:val="whitespace-normal"/>
    <w:basedOn w:val="DefaultParagraphFont"/>
    <w:rsid w:val="00356384"/>
  </w:style>
  <w:style w:type="character" w:customStyle="1" w:styleId="text-token-text-primary">
    <w:name w:val="text-token-text-primary"/>
    <w:basedOn w:val="DefaultParagraphFont"/>
    <w:rsid w:val="002E6A2D"/>
  </w:style>
  <w:style w:type="paragraph" w:customStyle="1" w:styleId="isselectedend">
    <w:name w:val="isselectedend"/>
    <w:basedOn w:val="Normal"/>
    <w:rsid w:val="00AC7555"/>
    <w:pPr>
      <w:spacing w:before="100" w:beforeAutospacing="1" w:after="100" w:afterAutospacing="1" w:line="240" w:lineRule="auto"/>
    </w:pPr>
    <w:rPr>
      <w:rFonts w:ascii="Times New Roman" w:eastAsia="Times New Roman" w:hAnsi="Times New Roman" w:cs="Times New Roman"/>
      <w:sz w:val="24"/>
      <w:szCs w:val="24"/>
      <w:lang w:eastAsia="en-IN"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1399">
      <w:bodyDiv w:val="1"/>
      <w:marLeft w:val="0"/>
      <w:marRight w:val="0"/>
      <w:marTop w:val="0"/>
      <w:marBottom w:val="0"/>
      <w:divBdr>
        <w:top w:val="none" w:sz="0" w:space="0" w:color="auto"/>
        <w:left w:val="none" w:sz="0" w:space="0" w:color="auto"/>
        <w:bottom w:val="none" w:sz="0" w:space="0" w:color="auto"/>
        <w:right w:val="none" w:sz="0" w:space="0" w:color="auto"/>
      </w:divBdr>
    </w:div>
    <w:div w:id="58288622">
      <w:bodyDiv w:val="1"/>
      <w:marLeft w:val="0"/>
      <w:marRight w:val="0"/>
      <w:marTop w:val="0"/>
      <w:marBottom w:val="0"/>
      <w:divBdr>
        <w:top w:val="none" w:sz="0" w:space="0" w:color="auto"/>
        <w:left w:val="none" w:sz="0" w:space="0" w:color="auto"/>
        <w:bottom w:val="none" w:sz="0" w:space="0" w:color="auto"/>
        <w:right w:val="none" w:sz="0" w:space="0" w:color="auto"/>
      </w:divBdr>
    </w:div>
    <w:div w:id="244609705">
      <w:bodyDiv w:val="1"/>
      <w:marLeft w:val="0"/>
      <w:marRight w:val="0"/>
      <w:marTop w:val="0"/>
      <w:marBottom w:val="0"/>
      <w:divBdr>
        <w:top w:val="none" w:sz="0" w:space="0" w:color="auto"/>
        <w:left w:val="none" w:sz="0" w:space="0" w:color="auto"/>
        <w:bottom w:val="none" w:sz="0" w:space="0" w:color="auto"/>
        <w:right w:val="none" w:sz="0" w:space="0" w:color="auto"/>
      </w:divBdr>
    </w:div>
    <w:div w:id="284578946">
      <w:bodyDiv w:val="1"/>
      <w:marLeft w:val="0"/>
      <w:marRight w:val="0"/>
      <w:marTop w:val="0"/>
      <w:marBottom w:val="0"/>
      <w:divBdr>
        <w:top w:val="none" w:sz="0" w:space="0" w:color="auto"/>
        <w:left w:val="none" w:sz="0" w:space="0" w:color="auto"/>
        <w:bottom w:val="none" w:sz="0" w:space="0" w:color="auto"/>
        <w:right w:val="none" w:sz="0" w:space="0" w:color="auto"/>
      </w:divBdr>
    </w:div>
    <w:div w:id="324096190">
      <w:bodyDiv w:val="1"/>
      <w:marLeft w:val="0"/>
      <w:marRight w:val="0"/>
      <w:marTop w:val="0"/>
      <w:marBottom w:val="0"/>
      <w:divBdr>
        <w:top w:val="none" w:sz="0" w:space="0" w:color="auto"/>
        <w:left w:val="none" w:sz="0" w:space="0" w:color="auto"/>
        <w:bottom w:val="none" w:sz="0" w:space="0" w:color="auto"/>
        <w:right w:val="none" w:sz="0" w:space="0" w:color="auto"/>
      </w:divBdr>
    </w:div>
    <w:div w:id="325741477">
      <w:bodyDiv w:val="1"/>
      <w:marLeft w:val="0"/>
      <w:marRight w:val="0"/>
      <w:marTop w:val="0"/>
      <w:marBottom w:val="0"/>
      <w:divBdr>
        <w:top w:val="none" w:sz="0" w:space="0" w:color="auto"/>
        <w:left w:val="none" w:sz="0" w:space="0" w:color="auto"/>
        <w:bottom w:val="none" w:sz="0" w:space="0" w:color="auto"/>
        <w:right w:val="none" w:sz="0" w:space="0" w:color="auto"/>
      </w:divBdr>
    </w:div>
    <w:div w:id="342128922">
      <w:bodyDiv w:val="1"/>
      <w:marLeft w:val="0"/>
      <w:marRight w:val="0"/>
      <w:marTop w:val="0"/>
      <w:marBottom w:val="0"/>
      <w:divBdr>
        <w:top w:val="none" w:sz="0" w:space="0" w:color="auto"/>
        <w:left w:val="none" w:sz="0" w:space="0" w:color="auto"/>
        <w:bottom w:val="none" w:sz="0" w:space="0" w:color="auto"/>
        <w:right w:val="none" w:sz="0" w:space="0" w:color="auto"/>
      </w:divBdr>
    </w:div>
    <w:div w:id="415639918">
      <w:bodyDiv w:val="1"/>
      <w:marLeft w:val="0"/>
      <w:marRight w:val="0"/>
      <w:marTop w:val="0"/>
      <w:marBottom w:val="0"/>
      <w:divBdr>
        <w:top w:val="none" w:sz="0" w:space="0" w:color="auto"/>
        <w:left w:val="none" w:sz="0" w:space="0" w:color="auto"/>
        <w:bottom w:val="none" w:sz="0" w:space="0" w:color="auto"/>
        <w:right w:val="none" w:sz="0" w:space="0" w:color="auto"/>
      </w:divBdr>
    </w:div>
    <w:div w:id="456413927">
      <w:bodyDiv w:val="1"/>
      <w:marLeft w:val="0"/>
      <w:marRight w:val="0"/>
      <w:marTop w:val="0"/>
      <w:marBottom w:val="0"/>
      <w:divBdr>
        <w:top w:val="none" w:sz="0" w:space="0" w:color="auto"/>
        <w:left w:val="none" w:sz="0" w:space="0" w:color="auto"/>
        <w:bottom w:val="none" w:sz="0" w:space="0" w:color="auto"/>
        <w:right w:val="none" w:sz="0" w:space="0" w:color="auto"/>
      </w:divBdr>
    </w:div>
    <w:div w:id="506331453">
      <w:bodyDiv w:val="1"/>
      <w:marLeft w:val="0"/>
      <w:marRight w:val="0"/>
      <w:marTop w:val="0"/>
      <w:marBottom w:val="0"/>
      <w:divBdr>
        <w:top w:val="none" w:sz="0" w:space="0" w:color="auto"/>
        <w:left w:val="none" w:sz="0" w:space="0" w:color="auto"/>
        <w:bottom w:val="none" w:sz="0" w:space="0" w:color="auto"/>
        <w:right w:val="none" w:sz="0" w:space="0" w:color="auto"/>
      </w:divBdr>
    </w:div>
    <w:div w:id="536623297">
      <w:bodyDiv w:val="1"/>
      <w:marLeft w:val="0"/>
      <w:marRight w:val="0"/>
      <w:marTop w:val="0"/>
      <w:marBottom w:val="0"/>
      <w:divBdr>
        <w:top w:val="none" w:sz="0" w:space="0" w:color="auto"/>
        <w:left w:val="none" w:sz="0" w:space="0" w:color="auto"/>
        <w:bottom w:val="none" w:sz="0" w:space="0" w:color="auto"/>
        <w:right w:val="none" w:sz="0" w:space="0" w:color="auto"/>
      </w:divBdr>
    </w:div>
    <w:div w:id="580681050">
      <w:bodyDiv w:val="1"/>
      <w:marLeft w:val="0"/>
      <w:marRight w:val="0"/>
      <w:marTop w:val="0"/>
      <w:marBottom w:val="0"/>
      <w:divBdr>
        <w:top w:val="none" w:sz="0" w:space="0" w:color="auto"/>
        <w:left w:val="none" w:sz="0" w:space="0" w:color="auto"/>
        <w:bottom w:val="none" w:sz="0" w:space="0" w:color="auto"/>
        <w:right w:val="none" w:sz="0" w:space="0" w:color="auto"/>
      </w:divBdr>
    </w:div>
    <w:div w:id="640883984">
      <w:bodyDiv w:val="1"/>
      <w:marLeft w:val="0"/>
      <w:marRight w:val="0"/>
      <w:marTop w:val="0"/>
      <w:marBottom w:val="0"/>
      <w:divBdr>
        <w:top w:val="none" w:sz="0" w:space="0" w:color="auto"/>
        <w:left w:val="none" w:sz="0" w:space="0" w:color="auto"/>
        <w:bottom w:val="none" w:sz="0" w:space="0" w:color="auto"/>
        <w:right w:val="none" w:sz="0" w:space="0" w:color="auto"/>
      </w:divBdr>
    </w:div>
    <w:div w:id="702486681">
      <w:bodyDiv w:val="1"/>
      <w:marLeft w:val="0"/>
      <w:marRight w:val="0"/>
      <w:marTop w:val="0"/>
      <w:marBottom w:val="0"/>
      <w:divBdr>
        <w:top w:val="none" w:sz="0" w:space="0" w:color="auto"/>
        <w:left w:val="none" w:sz="0" w:space="0" w:color="auto"/>
        <w:bottom w:val="none" w:sz="0" w:space="0" w:color="auto"/>
        <w:right w:val="none" w:sz="0" w:space="0" w:color="auto"/>
      </w:divBdr>
    </w:div>
    <w:div w:id="718822685">
      <w:bodyDiv w:val="1"/>
      <w:marLeft w:val="0"/>
      <w:marRight w:val="0"/>
      <w:marTop w:val="0"/>
      <w:marBottom w:val="0"/>
      <w:divBdr>
        <w:top w:val="none" w:sz="0" w:space="0" w:color="auto"/>
        <w:left w:val="none" w:sz="0" w:space="0" w:color="auto"/>
        <w:bottom w:val="none" w:sz="0" w:space="0" w:color="auto"/>
        <w:right w:val="none" w:sz="0" w:space="0" w:color="auto"/>
      </w:divBdr>
    </w:div>
    <w:div w:id="747966076">
      <w:bodyDiv w:val="1"/>
      <w:marLeft w:val="0"/>
      <w:marRight w:val="0"/>
      <w:marTop w:val="0"/>
      <w:marBottom w:val="0"/>
      <w:divBdr>
        <w:top w:val="none" w:sz="0" w:space="0" w:color="auto"/>
        <w:left w:val="none" w:sz="0" w:space="0" w:color="auto"/>
        <w:bottom w:val="none" w:sz="0" w:space="0" w:color="auto"/>
        <w:right w:val="none" w:sz="0" w:space="0" w:color="auto"/>
      </w:divBdr>
    </w:div>
    <w:div w:id="799033456">
      <w:bodyDiv w:val="1"/>
      <w:marLeft w:val="0"/>
      <w:marRight w:val="0"/>
      <w:marTop w:val="0"/>
      <w:marBottom w:val="0"/>
      <w:divBdr>
        <w:top w:val="none" w:sz="0" w:space="0" w:color="auto"/>
        <w:left w:val="none" w:sz="0" w:space="0" w:color="auto"/>
        <w:bottom w:val="none" w:sz="0" w:space="0" w:color="auto"/>
        <w:right w:val="none" w:sz="0" w:space="0" w:color="auto"/>
      </w:divBdr>
      <w:divsChild>
        <w:div w:id="1582446524">
          <w:marLeft w:val="0"/>
          <w:marRight w:val="0"/>
          <w:marTop w:val="0"/>
          <w:marBottom w:val="0"/>
          <w:divBdr>
            <w:top w:val="none" w:sz="0" w:space="0" w:color="auto"/>
            <w:left w:val="none" w:sz="0" w:space="0" w:color="auto"/>
            <w:bottom w:val="none" w:sz="0" w:space="0" w:color="auto"/>
            <w:right w:val="none" w:sz="0" w:space="0" w:color="auto"/>
          </w:divBdr>
          <w:divsChild>
            <w:div w:id="903369847">
              <w:marLeft w:val="0"/>
              <w:marRight w:val="0"/>
              <w:marTop w:val="0"/>
              <w:marBottom w:val="0"/>
              <w:divBdr>
                <w:top w:val="none" w:sz="0" w:space="0" w:color="auto"/>
                <w:left w:val="none" w:sz="0" w:space="0" w:color="auto"/>
                <w:bottom w:val="none" w:sz="0" w:space="0" w:color="auto"/>
                <w:right w:val="none" w:sz="0" w:space="0" w:color="auto"/>
              </w:divBdr>
            </w:div>
            <w:div w:id="1821387424">
              <w:marLeft w:val="0"/>
              <w:marRight w:val="0"/>
              <w:marTop w:val="0"/>
              <w:marBottom w:val="0"/>
              <w:divBdr>
                <w:top w:val="none" w:sz="0" w:space="0" w:color="auto"/>
                <w:left w:val="none" w:sz="0" w:space="0" w:color="auto"/>
                <w:bottom w:val="none" w:sz="0" w:space="0" w:color="auto"/>
                <w:right w:val="none" w:sz="0" w:space="0" w:color="auto"/>
              </w:divBdr>
            </w:div>
            <w:div w:id="127490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1194">
      <w:bodyDiv w:val="1"/>
      <w:marLeft w:val="0"/>
      <w:marRight w:val="0"/>
      <w:marTop w:val="0"/>
      <w:marBottom w:val="0"/>
      <w:divBdr>
        <w:top w:val="none" w:sz="0" w:space="0" w:color="auto"/>
        <w:left w:val="none" w:sz="0" w:space="0" w:color="auto"/>
        <w:bottom w:val="none" w:sz="0" w:space="0" w:color="auto"/>
        <w:right w:val="none" w:sz="0" w:space="0" w:color="auto"/>
      </w:divBdr>
    </w:div>
    <w:div w:id="942998069">
      <w:bodyDiv w:val="1"/>
      <w:marLeft w:val="0"/>
      <w:marRight w:val="0"/>
      <w:marTop w:val="0"/>
      <w:marBottom w:val="0"/>
      <w:divBdr>
        <w:top w:val="none" w:sz="0" w:space="0" w:color="auto"/>
        <w:left w:val="none" w:sz="0" w:space="0" w:color="auto"/>
        <w:bottom w:val="none" w:sz="0" w:space="0" w:color="auto"/>
        <w:right w:val="none" w:sz="0" w:space="0" w:color="auto"/>
      </w:divBdr>
    </w:div>
    <w:div w:id="944193267">
      <w:bodyDiv w:val="1"/>
      <w:marLeft w:val="0"/>
      <w:marRight w:val="0"/>
      <w:marTop w:val="0"/>
      <w:marBottom w:val="0"/>
      <w:divBdr>
        <w:top w:val="none" w:sz="0" w:space="0" w:color="auto"/>
        <w:left w:val="none" w:sz="0" w:space="0" w:color="auto"/>
        <w:bottom w:val="none" w:sz="0" w:space="0" w:color="auto"/>
        <w:right w:val="none" w:sz="0" w:space="0" w:color="auto"/>
      </w:divBdr>
    </w:div>
    <w:div w:id="957561893">
      <w:bodyDiv w:val="1"/>
      <w:marLeft w:val="0"/>
      <w:marRight w:val="0"/>
      <w:marTop w:val="0"/>
      <w:marBottom w:val="0"/>
      <w:divBdr>
        <w:top w:val="none" w:sz="0" w:space="0" w:color="auto"/>
        <w:left w:val="none" w:sz="0" w:space="0" w:color="auto"/>
        <w:bottom w:val="none" w:sz="0" w:space="0" w:color="auto"/>
        <w:right w:val="none" w:sz="0" w:space="0" w:color="auto"/>
      </w:divBdr>
      <w:divsChild>
        <w:div w:id="2079358167">
          <w:marLeft w:val="0"/>
          <w:marRight w:val="0"/>
          <w:marTop w:val="0"/>
          <w:marBottom w:val="0"/>
          <w:divBdr>
            <w:top w:val="none" w:sz="0" w:space="0" w:color="auto"/>
            <w:left w:val="none" w:sz="0" w:space="0" w:color="auto"/>
            <w:bottom w:val="none" w:sz="0" w:space="0" w:color="auto"/>
            <w:right w:val="none" w:sz="0" w:space="0" w:color="auto"/>
          </w:divBdr>
        </w:div>
        <w:div w:id="2132626887">
          <w:marLeft w:val="0"/>
          <w:marRight w:val="0"/>
          <w:marTop w:val="0"/>
          <w:marBottom w:val="0"/>
          <w:divBdr>
            <w:top w:val="none" w:sz="0" w:space="0" w:color="auto"/>
            <w:left w:val="none" w:sz="0" w:space="0" w:color="auto"/>
            <w:bottom w:val="none" w:sz="0" w:space="0" w:color="auto"/>
            <w:right w:val="none" w:sz="0" w:space="0" w:color="auto"/>
          </w:divBdr>
        </w:div>
        <w:div w:id="1564096770">
          <w:marLeft w:val="0"/>
          <w:marRight w:val="0"/>
          <w:marTop w:val="0"/>
          <w:marBottom w:val="0"/>
          <w:divBdr>
            <w:top w:val="none" w:sz="0" w:space="0" w:color="auto"/>
            <w:left w:val="none" w:sz="0" w:space="0" w:color="auto"/>
            <w:bottom w:val="none" w:sz="0" w:space="0" w:color="auto"/>
            <w:right w:val="none" w:sz="0" w:space="0" w:color="auto"/>
          </w:divBdr>
        </w:div>
        <w:div w:id="291832988">
          <w:marLeft w:val="0"/>
          <w:marRight w:val="0"/>
          <w:marTop w:val="0"/>
          <w:marBottom w:val="0"/>
          <w:divBdr>
            <w:top w:val="none" w:sz="0" w:space="0" w:color="auto"/>
            <w:left w:val="none" w:sz="0" w:space="0" w:color="auto"/>
            <w:bottom w:val="none" w:sz="0" w:space="0" w:color="auto"/>
            <w:right w:val="none" w:sz="0" w:space="0" w:color="auto"/>
          </w:divBdr>
          <w:divsChild>
            <w:div w:id="142623255">
              <w:marLeft w:val="0"/>
              <w:marRight w:val="0"/>
              <w:marTop w:val="0"/>
              <w:marBottom w:val="0"/>
              <w:divBdr>
                <w:top w:val="none" w:sz="0" w:space="0" w:color="auto"/>
                <w:left w:val="none" w:sz="0" w:space="0" w:color="auto"/>
                <w:bottom w:val="none" w:sz="0" w:space="0" w:color="auto"/>
                <w:right w:val="none" w:sz="0" w:space="0" w:color="auto"/>
              </w:divBdr>
            </w:div>
          </w:divsChild>
        </w:div>
        <w:div w:id="1603487967">
          <w:marLeft w:val="0"/>
          <w:marRight w:val="0"/>
          <w:marTop w:val="0"/>
          <w:marBottom w:val="0"/>
          <w:divBdr>
            <w:top w:val="none" w:sz="0" w:space="0" w:color="auto"/>
            <w:left w:val="none" w:sz="0" w:space="0" w:color="auto"/>
            <w:bottom w:val="none" w:sz="0" w:space="0" w:color="auto"/>
            <w:right w:val="none" w:sz="0" w:space="0" w:color="auto"/>
          </w:divBdr>
        </w:div>
        <w:div w:id="38554925">
          <w:marLeft w:val="0"/>
          <w:marRight w:val="0"/>
          <w:marTop w:val="0"/>
          <w:marBottom w:val="0"/>
          <w:divBdr>
            <w:top w:val="none" w:sz="0" w:space="0" w:color="auto"/>
            <w:left w:val="none" w:sz="0" w:space="0" w:color="auto"/>
            <w:bottom w:val="none" w:sz="0" w:space="0" w:color="auto"/>
            <w:right w:val="none" w:sz="0" w:space="0" w:color="auto"/>
          </w:divBdr>
          <w:divsChild>
            <w:div w:id="1116409507">
              <w:marLeft w:val="0"/>
              <w:marRight w:val="0"/>
              <w:marTop w:val="0"/>
              <w:marBottom w:val="0"/>
              <w:divBdr>
                <w:top w:val="none" w:sz="0" w:space="0" w:color="auto"/>
                <w:left w:val="none" w:sz="0" w:space="0" w:color="auto"/>
                <w:bottom w:val="none" w:sz="0" w:space="0" w:color="auto"/>
                <w:right w:val="none" w:sz="0" w:space="0" w:color="auto"/>
              </w:divBdr>
            </w:div>
            <w:div w:id="789906702">
              <w:marLeft w:val="0"/>
              <w:marRight w:val="0"/>
              <w:marTop w:val="0"/>
              <w:marBottom w:val="0"/>
              <w:divBdr>
                <w:top w:val="none" w:sz="0" w:space="0" w:color="auto"/>
                <w:left w:val="none" w:sz="0" w:space="0" w:color="auto"/>
                <w:bottom w:val="none" w:sz="0" w:space="0" w:color="auto"/>
                <w:right w:val="none" w:sz="0" w:space="0" w:color="auto"/>
              </w:divBdr>
              <w:divsChild>
                <w:div w:id="1319922273">
                  <w:marLeft w:val="0"/>
                  <w:marRight w:val="0"/>
                  <w:marTop w:val="0"/>
                  <w:marBottom w:val="0"/>
                  <w:divBdr>
                    <w:top w:val="none" w:sz="0" w:space="0" w:color="auto"/>
                    <w:left w:val="none" w:sz="0" w:space="0" w:color="auto"/>
                    <w:bottom w:val="none" w:sz="0" w:space="0" w:color="auto"/>
                    <w:right w:val="none" w:sz="0" w:space="0" w:color="auto"/>
                  </w:divBdr>
                  <w:divsChild>
                    <w:div w:id="1141118686">
                      <w:marLeft w:val="0"/>
                      <w:marRight w:val="0"/>
                      <w:marTop w:val="0"/>
                      <w:marBottom w:val="0"/>
                      <w:divBdr>
                        <w:top w:val="none" w:sz="0" w:space="0" w:color="auto"/>
                        <w:left w:val="none" w:sz="0" w:space="0" w:color="auto"/>
                        <w:bottom w:val="none" w:sz="0" w:space="0" w:color="auto"/>
                        <w:right w:val="none" w:sz="0" w:space="0" w:color="auto"/>
                      </w:divBdr>
                      <w:divsChild>
                        <w:div w:id="93063340">
                          <w:marLeft w:val="0"/>
                          <w:marRight w:val="0"/>
                          <w:marTop w:val="0"/>
                          <w:marBottom w:val="0"/>
                          <w:divBdr>
                            <w:top w:val="none" w:sz="0" w:space="0" w:color="auto"/>
                            <w:left w:val="none" w:sz="0" w:space="0" w:color="auto"/>
                            <w:bottom w:val="none" w:sz="0" w:space="0" w:color="auto"/>
                            <w:right w:val="none" w:sz="0" w:space="0" w:color="auto"/>
                          </w:divBdr>
                          <w:divsChild>
                            <w:div w:id="21863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59756">
          <w:marLeft w:val="0"/>
          <w:marRight w:val="0"/>
          <w:marTop w:val="0"/>
          <w:marBottom w:val="0"/>
          <w:divBdr>
            <w:top w:val="none" w:sz="0" w:space="0" w:color="auto"/>
            <w:left w:val="none" w:sz="0" w:space="0" w:color="auto"/>
            <w:bottom w:val="none" w:sz="0" w:space="0" w:color="auto"/>
            <w:right w:val="none" w:sz="0" w:space="0" w:color="auto"/>
          </w:divBdr>
        </w:div>
        <w:div w:id="2026051416">
          <w:marLeft w:val="0"/>
          <w:marRight w:val="0"/>
          <w:marTop w:val="0"/>
          <w:marBottom w:val="0"/>
          <w:divBdr>
            <w:top w:val="none" w:sz="0" w:space="0" w:color="auto"/>
            <w:left w:val="none" w:sz="0" w:space="0" w:color="auto"/>
            <w:bottom w:val="none" w:sz="0" w:space="0" w:color="auto"/>
            <w:right w:val="none" w:sz="0" w:space="0" w:color="auto"/>
          </w:divBdr>
        </w:div>
        <w:div w:id="617181795">
          <w:marLeft w:val="0"/>
          <w:marRight w:val="0"/>
          <w:marTop w:val="0"/>
          <w:marBottom w:val="0"/>
          <w:divBdr>
            <w:top w:val="none" w:sz="0" w:space="0" w:color="auto"/>
            <w:left w:val="none" w:sz="0" w:space="0" w:color="auto"/>
            <w:bottom w:val="none" w:sz="0" w:space="0" w:color="auto"/>
            <w:right w:val="none" w:sz="0" w:space="0" w:color="auto"/>
          </w:divBdr>
        </w:div>
        <w:div w:id="1619292051">
          <w:marLeft w:val="0"/>
          <w:marRight w:val="0"/>
          <w:marTop w:val="0"/>
          <w:marBottom w:val="0"/>
          <w:divBdr>
            <w:top w:val="none" w:sz="0" w:space="0" w:color="auto"/>
            <w:left w:val="none" w:sz="0" w:space="0" w:color="auto"/>
            <w:bottom w:val="none" w:sz="0" w:space="0" w:color="auto"/>
            <w:right w:val="none" w:sz="0" w:space="0" w:color="auto"/>
          </w:divBdr>
        </w:div>
        <w:div w:id="1910338337">
          <w:marLeft w:val="0"/>
          <w:marRight w:val="0"/>
          <w:marTop w:val="0"/>
          <w:marBottom w:val="0"/>
          <w:divBdr>
            <w:top w:val="none" w:sz="0" w:space="0" w:color="auto"/>
            <w:left w:val="none" w:sz="0" w:space="0" w:color="auto"/>
            <w:bottom w:val="none" w:sz="0" w:space="0" w:color="auto"/>
            <w:right w:val="none" w:sz="0" w:space="0" w:color="auto"/>
          </w:divBdr>
        </w:div>
        <w:div w:id="1675572031">
          <w:marLeft w:val="0"/>
          <w:marRight w:val="0"/>
          <w:marTop w:val="0"/>
          <w:marBottom w:val="0"/>
          <w:divBdr>
            <w:top w:val="none" w:sz="0" w:space="0" w:color="auto"/>
            <w:left w:val="none" w:sz="0" w:space="0" w:color="auto"/>
            <w:bottom w:val="none" w:sz="0" w:space="0" w:color="auto"/>
            <w:right w:val="none" w:sz="0" w:space="0" w:color="auto"/>
          </w:divBdr>
        </w:div>
        <w:div w:id="135220947">
          <w:marLeft w:val="0"/>
          <w:marRight w:val="0"/>
          <w:marTop w:val="0"/>
          <w:marBottom w:val="0"/>
          <w:divBdr>
            <w:top w:val="none" w:sz="0" w:space="0" w:color="auto"/>
            <w:left w:val="none" w:sz="0" w:space="0" w:color="auto"/>
            <w:bottom w:val="none" w:sz="0" w:space="0" w:color="auto"/>
            <w:right w:val="none" w:sz="0" w:space="0" w:color="auto"/>
          </w:divBdr>
        </w:div>
        <w:div w:id="315182102">
          <w:marLeft w:val="0"/>
          <w:marRight w:val="0"/>
          <w:marTop w:val="0"/>
          <w:marBottom w:val="0"/>
          <w:divBdr>
            <w:top w:val="none" w:sz="0" w:space="0" w:color="auto"/>
            <w:left w:val="none" w:sz="0" w:space="0" w:color="auto"/>
            <w:bottom w:val="none" w:sz="0" w:space="0" w:color="auto"/>
            <w:right w:val="none" w:sz="0" w:space="0" w:color="auto"/>
          </w:divBdr>
        </w:div>
        <w:div w:id="255016701">
          <w:marLeft w:val="0"/>
          <w:marRight w:val="0"/>
          <w:marTop w:val="0"/>
          <w:marBottom w:val="0"/>
          <w:divBdr>
            <w:top w:val="none" w:sz="0" w:space="0" w:color="auto"/>
            <w:left w:val="none" w:sz="0" w:space="0" w:color="auto"/>
            <w:bottom w:val="none" w:sz="0" w:space="0" w:color="auto"/>
            <w:right w:val="none" w:sz="0" w:space="0" w:color="auto"/>
          </w:divBdr>
        </w:div>
        <w:div w:id="429811135">
          <w:marLeft w:val="0"/>
          <w:marRight w:val="0"/>
          <w:marTop w:val="0"/>
          <w:marBottom w:val="0"/>
          <w:divBdr>
            <w:top w:val="none" w:sz="0" w:space="0" w:color="auto"/>
            <w:left w:val="none" w:sz="0" w:space="0" w:color="auto"/>
            <w:bottom w:val="none" w:sz="0" w:space="0" w:color="auto"/>
            <w:right w:val="none" w:sz="0" w:space="0" w:color="auto"/>
          </w:divBdr>
        </w:div>
        <w:div w:id="92677176">
          <w:marLeft w:val="0"/>
          <w:marRight w:val="0"/>
          <w:marTop w:val="0"/>
          <w:marBottom w:val="0"/>
          <w:divBdr>
            <w:top w:val="none" w:sz="0" w:space="0" w:color="auto"/>
            <w:left w:val="none" w:sz="0" w:space="0" w:color="auto"/>
            <w:bottom w:val="none" w:sz="0" w:space="0" w:color="auto"/>
            <w:right w:val="none" w:sz="0" w:space="0" w:color="auto"/>
          </w:divBdr>
        </w:div>
        <w:div w:id="289670125">
          <w:marLeft w:val="0"/>
          <w:marRight w:val="0"/>
          <w:marTop w:val="0"/>
          <w:marBottom w:val="0"/>
          <w:divBdr>
            <w:top w:val="none" w:sz="0" w:space="0" w:color="auto"/>
            <w:left w:val="none" w:sz="0" w:space="0" w:color="auto"/>
            <w:bottom w:val="none" w:sz="0" w:space="0" w:color="auto"/>
            <w:right w:val="none" w:sz="0" w:space="0" w:color="auto"/>
          </w:divBdr>
        </w:div>
        <w:div w:id="684942057">
          <w:marLeft w:val="0"/>
          <w:marRight w:val="0"/>
          <w:marTop w:val="0"/>
          <w:marBottom w:val="0"/>
          <w:divBdr>
            <w:top w:val="none" w:sz="0" w:space="0" w:color="auto"/>
            <w:left w:val="none" w:sz="0" w:space="0" w:color="auto"/>
            <w:bottom w:val="none" w:sz="0" w:space="0" w:color="auto"/>
            <w:right w:val="none" w:sz="0" w:space="0" w:color="auto"/>
          </w:divBdr>
        </w:div>
        <w:div w:id="605038409">
          <w:marLeft w:val="0"/>
          <w:marRight w:val="0"/>
          <w:marTop w:val="0"/>
          <w:marBottom w:val="0"/>
          <w:divBdr>
            <w:top w:val="none" w:sz="0" w:space="0" w:color="auto"/>
            <w:left w:val="none" w:sz="0" w:space="0" w:color="auto"/>
            <w:bottom w:val="none" w:sz="0" w:space="0" w:color="auto"/>
            <w:right w:val="none" w:sz="0" w:space="0" w:color="auto"/>
          </w:divBdr>
        </w:div>
        <w:div w:id="591360133">
          <w:marLeft w:val="0"/>
          <w:marRight w:val="0"/>
          <w:marTop w:val="0"/>
          <w:marBottom w:val="0"/>
          <w:divBdr>
            <w:top w:val="none" w:sz="0" w:space="0" w:color="auto"/>
            <w:left w:val="none" w:sz="0" w:space="0" w:color="auto"/>
            <w:bottom w:val="none" w:sz="0" w:space="0" w:color="auto"/>
            <w:right w:val="none" w:sz="0" w:space="0" w:color="auto"/>
          </w:divBdr>
        </w:div>
        <w:div w:id="1082066385">
          <w:marLeft w:val="0"/>
          <w:marRight w:val="0"/>
          <w:marTop w:val="0"/>
          <w:marBottom w:val="0"/>
          <w:divBdr>
            <w:top w:val="none" w:sz="0" w:space="0" w:color="auto"/>
            <w:left w:val="none" w:sz="0" w:space="0" w:color="auto"/>
            <w:bottom w:val="none" w:sz="0" w:space="0" w:color="auto"/>
            <w:right w:val="none" w:sz="0" w:space="0" w:color="auto"/>
          </w:divBdr>
        </w:div>
        <w:div w:id="1032339382">
          <w:marLeft w:val="0"/>
          <w:marRight w:val="0"/>
          <w:marTop w:val="0"/>
          <w:marBottom w:val="0"/>
          <w:divBdr>
            <w:top w:val="none" w:sz="0" w:space="0" w:color="auto"/>
            <w:left w:val="none" w:sz="0" w:space="0" w:color="auto"/>
            <w:bottom w:val="none" w:sz="0" w:space="0" w:color="auto"/>
            <w:right w:val="none" w:sz="0" w:space="0" w:color="auto"/>
          </w:divBdr>
        </w:div>
        <w:div w:id="1027876107">
          <w:marLeft w:val="0"/>
          <w:marRight w:val="0"/>
          <w:marTop w:val="0"/>
          <w:marBottom w:val="0"/>
          <w:divBdr>
            <w:top w:val="none" w:sz="0" w:space="0" w:color="auto"/>
            <w:left w:val="none" w:sz="0" w:space="0" w:color="auto"/>
            <w:bottom w:val="none" w:sz="0" w:space="0" w:color="auto"/>
            <w:right w:val="none" w:sz="0" w:space="0" w:color="auto"/>
          </w:divBdr>
        </w:div>
        <w:div w:id="613754926">
          <w:marLeft w:val="0"/>
          <w:marRight w:val="0"/>
          <w:marTop w:val="0"/>
          <w:marBottom w:val="0"/>
          <w:divBdr>
            <w:top w:val="none" w:sz="0" w:space="0" w:color="auto"/>
            <w:left w:val="none" w:sz="0" w:space="0" w:color="auto"/>
            <w:bottom w:val="none" w:sz="0" w:space="0" w:color="auto"/>
            <w:right w:val="none" w:sz="0" w:space="0" w:color="auto"/>
          </w:divBdr>
        </w:div>
        <w:div w:id="2006778363">
          <w:marLeft w:val="0"/>
          <w:marRight w:val="0"/>
          <w:marTop w:val="0"/>
          <w:marBottom w:val="0"/>
          <w:divBdr>
            <w:top w:val="none" w:sz="0" w:space="0" w:color="auto"/>
            <w:left w:val="none" w:sz="0" w:space="0" w:color="auto"/>
            <w:bottom w:val="none" w:sz="0" w:space="0" w:color="auto"/>
            <w:right w:val="none" w:sz="0" w:space="0" w:color="auto"/>
          </w:divBdr>
        </w:div>
        <w:div w:id="1919747813">
          <w:marLeft w:val="0"/>
          <w:marRight w:val="0"/>
          <w:marTop w:val="0"/>
          <w:marBottom w:val="0"/>
          <w:divBdr>
            <w:top w:val="none" w:sz="0" w:space="0" w:color="auto"/>
            <w:left w:val="none" w:sz="0" w:space="0" w:color="auto"/>
            <w:bottom w:val="none" w:sz="0" w:space="0" w:color="auto"/>
            <w:right w:val="none" w:sz="0" w:space="0" w:color="auto"/>
          </w:divBdr>
        </w:div>
        <w:div w:id="96947630">
          <w:marLeft w:val="0"/>
          <w:marRight w:val="0"/>
          <w:marTop w:val="0"/>
          <w:marBottom w:val="0"/>
          <w:divBdr>
            <w:top w:val="none" w:sz="0" w:space="0" w:color="auto"/>
            <w:left w:val="none" w:sz="0" w:space="0" w:color="auto"/>
            <w:bottom w:val="none" w:sz="0" w:space="0" w:color="auto"/>
            <w:right w:val="none" w:sz="0" w:space="0" w:color="auto"/>
          </w:divBdr>
        </w:div>
        <w:div w:id="763183290">
          <w:marLeft w:val="0"/>
          <w:marRight w:val="0"/>
          <w:marTop w:val="0"/>
          <w:marBottom w:val="0"/>
          <w:divBdr>
            <w:top w:val="none" w:sz="0" w:space="0" w:color="auto"/>
            <w:left w:val="none" w:sz="0" w:space="0" w:color="auto"/>
            <w:bottom w:val="none" w:sz="0" w:space="0" w:color="auto"/>
            <w:right w:val="none" w:sz="0" w:space="0" w:color="auto"/>
          </w:divBdr>
        </w:div>
        <w:div w:id="1047528274">
          <w:marLeft w:val="0"/>
          <w:marRight w:val="0"/>
          <w:marTop w:val="0"/>
          <w:marBottom w:val="0"/>
          <w:divBdr>
            <w:top w:val="none" w:sz="0" w:space="0" w:color="auto"/>
            <w:left w:val="none" w:sz="0" w:space="0" w:color="auto"/>
            <w:bottom w:val="none" w:sz="0" w:space="0" w:color="auto"/>
            <w:right w:val="none" w:sz="0" w:space="0" w:color="auto"/>
          </w:divBdr>
        </w:div>
        <w:div w:id="1700887020">
          <w:marLeft w:val="0"/>
          <w:marRight w:val="0"/>
          <w:marTop w:val="0"/>
          <w:marBottom w:val="0"/>
          <w:divBdr>
            <w:top w:val="none" w:sz="0" w:space="0" w:color="auto"/>
            <w:left w:val="none" w:sz="0" w:space="0" w:color="auto"/>
            <w:bottom w:val="none" w:sz="0" w:space="0" w:color="auto"/>
            <w:right w:val="none" w:sz="0" w:space="0" w:color="auto"/>
          </w:divBdr>
        </w:div>
        <w:div w:id="2123568649">
          <w:marLeft w:val="0"/>
          <w:marRight w:val="0"/>
          <w:marTop w:val="0"/>
          <w:marBottom w:val="0"/>
          <w:divBdr>
            <w:top w:val="none" w:sz="0" w:space="0" w:color="auto"/>
            <w:left w:val="none" w:sz="0" w:space="0" w:color="auto"/>
            <w:bottom w:val="none" w:sz="0" w:space="0" w:color="auto"/>
            <w:right w:val="none" w:sz="0" w:space="0" w:color="auto"/>
          </w:divBdr>
        </w:div>
        <w:div w:id="1666471069">
          <w:marLeft w:val="0"/>
          <w:marRight w:val="0"/>
          <w:marTop w:val="0"/>
          <w:marBottom w:val="0"/>
          <w:divBdr>
            <w:top w:val="none" w:sz="0" w:space="0" w:color="auto"/>
            <w:left w:val="none" w:sz="0" w:space="0" w:color="auto"/>
            <w:bottom w:val="none" w:sz="0" w:space="0" w:color="auto"/>
            <w:right w:val="none" w:sz="0" w:space="0" w:color="auto"/>
          </w:divBdr>
        </w:div>
        <w:div w:id="639729164">
          <w:marLeft w:val="0"/>
          <w:marRight w:val="0"/>
          <w:marTop w:val="0"/>
          <w:marBottom w:val="0"/>
          <w:divBdr>
            <w:top w:val="none" w:sz="0" w:space="0" w:color="auto"/>
            <w:left w:val="none" w:sz="0" w:space="0" w:color="auto"/>
            <w:bottom w:val="none" w:sz="0" w:space="0" w:color="auto"/>
            <w:right w:val="none" w:sz="0" w:space="0" w:color="auto"/>
          </w:divBdr>
        </w:div>
        <w:div w:id="1277833638">
          <w:marLeft w:val="0"/>
          <w:marRight w:val="0"/>
          <w:marTop w:val="0"/>
          <w:marBottom w:val="0"/>
          <w:divBdr>
            <w:top w:val="none" w:sz="0" w:space="0" w:color="auto"/>
            <w:left w:val="none" w:sz="0" w:space="0" w:color="auto"/>
            <w:bottom w:val="none" w:sz="0" w:space="0" w:color="auto"/>
            <w:right w:val="none" w:sz="0" w:space="0" w:color="auto"/>
          </w:divBdr>
        </w:div>
        <w:div w:id="1356881575">
          <w:marLeft w:val="0"/>
          <w:marRight w:val="0"/>
          <w:marTop w:val="0"/>
          <w:marBottom w:val="0"/>
          <w:divBdr>
            <w:top w:val="none" w:sz="0" w:space="0" w:color="auto"/>
            <w:left w:val="none" w:sz="0" w:space="0" w:color="auto"/>
            <w:bottom w:val="none" w:sz="0" w:space="0" w:color="auto"/>
            <w:right w:val="none" w:sz="0" w:space="0" w:color="auto"/>
          </w:divBdr>
        </w:div>
        <w:div w:id="1397699192">
          <w:marLeft w:val="0"/>
          <w:marRight w:val="0"/>
          <w:marTop w:val="0"/>
          <w:marBottom w:val="0"/>
          <w:divBdr>
            <w:top w:val="none" w:sz="0" w:space="0" w:color="auto"/>
            <w:left w:val="none" w:sz="0" w:space="0" w:color="auto"/>
            <w:bottom w:val="none" w:sz="0" w:space="0" w:color="auto"/>
            <w:right w:val="none" w:sz="0" w:space="0" w:color="auto"/>
          </w:divBdr>
        </w:div>
      </w:divsChild>
    </w:div>
    <w:div w:id="1065907271">
      <w:bodyDiv w:val="1"/>
      <w:marLeft w:val="0"/>
      <w:marRight w:val="0"/>
      <w:marTop w:val="0"/>
      <w:marBottom w:val="0"/>
      <w:divBdr>
        <w:top w:val="none" w:sz="0" w:space="0" w:color="auto"/>
        <w:left w:val="none" w:sz="0" w:space="0" w:color="auto"/>
        <w:bottom w:val="none" w:sz="0" w:space="0" w:color="auto"/>
        <w:right w:val="none" w:sz="0" w:space="0" w:color="auto"/>
      </w:divBdr>
    </w:div>
    <w:div w:id="1108964200">
      <w:bodyDiv w:val="1"/>
      <w:marLeft w:val="0"/>
      <w:marRight w:val="0"/>
      <w:marTop w:val="0"/>
      <w:marBottom w:val="0"/>
      <w:divBdr>
        <w:top w:val="none" w:sz="0" w:space="0" w:color="auto"/>
        <w:left w:val="none" w:sz="0" w:space="0" w:color="auto"/>
        <w:bottom w:val="none" w:sz="0" w:space="0" w:color="auto"/>
        <w:right w:val="none" w:sz="0" w:space="0" w:color="auto"/>
      </w:divBdr>
    </w:div>
    <w:div w:id="1223105394">
      <w:bodyDiv w:val="1"/>
      <w:marLeft w:val="0"/>
      <w:marRight w:val="0"/>
      <w:marTop w:val="0"/>
      <w:marBottom w:val="0"/>
      <w:divBdr>
        <w:top w:val="none" w:sz="0" w:space="0" w:color="auto"/>
        <w:left w:val="none" w:sz="0" w:space="0" w:color="auto"/>
        <w:bottom w:val="none" w:sz="0" w:space="0" w:color="auto"/>
        <w:right w:val="none" w:sz="0" w:space="0" w:color="auto"/>
      </w:divBdr>
    </w:div>
    <w:div w:id="1294746774">
      <w:bodyDiv w:val="1"/>
      <w:marLeft w:val="0"/>
      <w:marRight w:val="0"/>
      <w:marTop w:val="0"/>
      <w:marBottom w:val="0"/>
      <w:divBdr>
        <w:top w:val="none" w:sz="0" w:space="0" w:color="auto"/>
        <w:left w:val="none" w:sz="0" w:space="0" w:color="auto"/>
        <w:bottom w:val="none" w:sz="0" w:space="0" w:color="auto"/>
        <w:right w:val="none" w:sz="0" w:space="0" w:color="auto"/>
      </w:divBdr>
    </w:div>
    <w:div w:id="1435436579">
      <w:bodyDiv w:val="1"/>
      <w:marLeft w:val="0"/>
      <w:marRight w:val="0"/>
      <w:marTop w:val="0"/>
      <w:marBottom w:val="0"/>
      <w:divBdr>
        <w:top w:val="none" w:sz="0" w:space="0" w:color="auto"/>
        <w:left w:val="none" w:sz="0" w:space="0" w:color="auto"/>
        <w:bottom w:val="none" w:sz="0" w:space="0" w:color="auto"/>
        <w:right w:val="none" w:sz="0" w:space="0" w:color="auto"/>
      </w:divBdr>
    </w:div>
    <w:div w:id="1618370627">
      <w:bodyDiv w:val="1"/>
      <w:marLeft w:val="0"/>
      <w:marRight w:val="0"/>
      <w:marTop w:val="0"/>
      <w:marBottom w:val="0"/>
      <w:divBdr>
        <w:top w:val="none" w:sz="0" w:space="0" w:color="auto"/>
        <w:left w:val="none" w:sz="0" w:space="0" w:color="auto"/>
        <w:bottom w:val="none" w:sz="0" w:space="0" w:color="auto"/>
        <w:right w:val="none" w:sz="0" w:space="0" w:color="auto"/>
      </w:divBdr>
    </w:div>
    <w:div w:id="1634023351">
      <w:bodyDiv w:val="1"/>
      <w:marLeft w:val="0"/>
      <w:marRight w:val="0"/>
      <w:marTop w:val="0"/>
      <w:marBottom w:val="0"/>
      <w:divBdr>
        <w:top w:val="none" w:sz="0" w:space="0" w:color="auto"/>
        <w:left w:val="none" w:sz="0" w:space="0" w:color="auto"/>
        <w:bottom w:val="none" w:sz="0" w:space="0" w:color="auto"/>
        <w:right w:val="none" w:sz="0" w:space="0" w:color="auto"/>
      </w:divBdr>
    </w:div>
    <w:div w:id="1648171332">
      <w:bodyDiv w:val="1"/>
      <w:marLeft w:val="0"/>
      <w:marRight w:val="0"/>
      <w:marTop w:val="0"/>
      <w:marBottom w:val="0"/>
      <w:divBdr>
        <w:top w:val="none" w:sz="0" w:space="0" w:color="auto"/>
        <w:left w:val="none" w:sz="0" w:space="0" w:color="auto"/>
        <w:bottom w:val="none" w:sz="0" w:space="0" w:color="auto"/>
        <w:right w:val="none" w:sz="0" w:space="0" w:color="auto"/>
      </w:divBdr>
    </w:div>
    <w:div w:id="1664163060">
      <w:bodyDiv w:val="1"/>
      <w:marLeft w:val="0"/>
      <w:marRight w:val="0"/>
      <w:marTop w:val="0"/>
      <w:marBottom w:val="0"/>
      <w:divBdr>
        <w:top w:val="none" w:sz="0" w:space="0" w:color="auto"/>
        <w:left w:val="none" w:sz="0" w:space="0" w:color="auto"/>
        <w:bottom w:val="none" w:sz="0" w:space="0" w:color="auto"/>
        <w:right w:val="none" w:sz="0" w:space="0" w:color="auto"/>
      </w:divBdr>
    </w:div>
    <w:div w:id="1695036091">
      <w:bodyDiv w:val="1"/>
      <w:marLeft w:val="0"/>
      <w:marRight w:val="0"/>
      <w:marTop w:val="0"/>
      <w:marBottom w:val="0"/>
      <w:divBdr>
        <w:top w:val="none" w:sz="0" w:space="0" w:color="auto"/>
        <w:left w:val="none" w:sz="0" w:space="0" w:color="auto"/>
        <w:bottom w:val="none" w:sz="0" w:space="0" w:color="auto"/>
        <w:right w:val="none" w:sz="0" w:space="0" w:color="auto"/>
      </w:divBdr>
    </w:div>
    <w:div w:id="1734542331">
      <w:bodyDiv w:val="1"/>
      <w:marLeft w:val="0"/>
      <w:marRight w:val="0"/>
      <w:marTop w:val="0"/>
      <w:marBottom w:val="0"/>
      <w:divBdr>
        <w:top w:val="none" w:sz="0" w:space="0" w:color="auto"/>
        <w:left w:val="none" w:sz="0" w:space="0" w:color="auto"/>
        <w:bottom w:val="none" w:sz="0" w:space="0" w:color="auto"/>
        <w:right w:val="none" w:sz="0" w:space="0" w:color="auto"/>
      </w:divBdr>
    </w:div>
    <w:div w:id="1779058485">
      <w:bodyDiv w:val="1"/>
      <w:marLeft w:val="0"/>
      <w:marRight w:val="0"/>
      <w:marTop w:val="0"/>
      <w:marBottom w:val="0"/>
      <w:divBdr>
        <w:top w:val="none" w:sz="0" w:space="0" w:color="auto"/>
        <w:left w:val="none" w:sz="0" w:space="0" w:color="auto"/>
        <w:bottom w:val="none" w:sz="0" w:space="0" w:color="auto"/>
        <w:right w:val="none" w:sz="0" w:space="0" w:color="auto"/>
      </w:divBdr>
    </w:div>
    <w:div w:id="1802842732">
      <w:bodyDiv w:val="1"/>
      <w:marLeft w:val="0"/>
      <w:marRight w:val="0"/>
      <w:marTop w:val="0"/>
      <w:marBottom w:val="0"/>
      <w:divBdr>
        <w:top w:val="none" w:sz="0" w:space="0" w:color="auto"/>
        <w:left w:val="none" w:sz="0" w:space="0" w:color="auto"/>
        <w:bottom w:val="none" w:sz="0" w:space="0" w:color="auto"/>
        <w:right w:val="none" w:sz="0" w:space="0" w:color="auto"/>
      </w:divBdr>
    </w:div>
    <w:div w:id="1840776395">
      <w:bodyDiv w:val="1"/>
      <w:marLeft w:val="0"/>
      <w:marRight w:val="0"/>
      <w:marTop w:val="0"/>
      <w:marBottom w:val="0"/>
      <w:divBdr>
        <w:top w:val="none" w:sz="0" w:space="0" w:color="auto"/>
        <w:left w:val="none" w:sz="0" w:space="0" w:color="auto"/>
        <w:bottom w:val="none" w:sz="0" w:space="0" w:color="auto"/>
        <w:right w:val="none" w:sz="0" w:space="0" w:color="auto"/>
      </w:divBdr>
    </w:div>
    <w:div w:id="1930386884">
      <w:bodyDiv w:val="1"/>
      <w:marLeft w:val="0"/>
      <w:marRight w:val="0"/>
      <w:marTop w:val="0"/>
      <w:marBottom w:val="0"/>
      <w:divBdr>
        <w:top w:val="none" w:sz="0" w:space="0" w:color="auto"/>
        <w:left w:val="none" w:sz="0" w:space="0" w:color="auto"/>
        <w:bottom w:val="none" w:sz="0" w:space="0" w:color="auto"/>
        <w:right w:val="none" w:sz="0" w:space="0" w:color="auto"/>
      </w:divBdr>
    </w:div>
    <w:div w:id="1935045496">
      <w:bodyDiv w:val="1"/>
      <w:marLeft w:val="0"/>
      <w:marRight w:val="0"/>
      <w:marTop w:val="0"/>
      <w:marBottom w:val="0"/>
      <w:divBdr>
        <w:top w:val="none" w:sz="0" w:space="0" w:color="auto"/>
        <w:left w:val="none" w:sz="0" w:space="0" w:color="auto"/>
        <w:bottom w:val="none" w:sz="0" w:space="0" w:color="auto"/>
        <w:right w:val="none" w:sz="0" w:space="0" w:color="auto"/>
      </w:divBdr>
    </w:div>
    <w:div w:id="1939557929">
      <w:bodyDiv w:val="1"/>
      <w:marLeft w:val="0"/>
      <w:marRight w:val="0"/>
      <w:marTop w:val="0"/>
      <w:marBottom w:val="0"/>
      <w:divBdr>
        <w:top w:val="none" w:sz="0" w:space="0" w:color="auto"/>
        <w:left w:val="none" w:sz="0" w:space="0" w:color="auto"/>
        <w:bottom w:val="none" w:sz="0" w:space="0" w:color="auto"/>
        <w:right w:val="none" w:sz="0" w:space="0" w:color="auto"/>
      </w:divBdr>
    </w:div>
    <w:div w:id="1944075271">
      <w:bodyDiv w:val="1"/>
      <w:marLeft w:val="0"/>
      <w:marRight w:val="0"/>
      <w:marTop w:val="0"/>
      <w:marBottom w:val="0"/>
      <w:divBdr>
        <w:top w:val="none" w:sz="0" w:space="0" w:color="auto"/>
        <w:left w:val="none" w:sz="0" w:space="0" w:color="auto"/>
        <w:bottom w:val="none" w:sz="0" w:space="0" w:color="auto"/>
        <w:right w:val="none" w:sz="0" w:space="0" w:color="auto"/>
      </w:divBdr>
    </w:div>
    <w:div w:id="1951816116">
      <w:bodyDiv w:val="1"/>
      <w:marLeft w:val="0"/>
      <w:marRight w:val="0"/>
      <w:marTop w:val="0"/>
      <w:marBottom w:val="0"/>
      <w:divBdr>
        <w:top w:val="none" w:sz="0" w:space="0" w:color="auto"/>
        <w:left w:val="none" w:sz="0" w:space="0" w:color="auto"/>
        <w:bottom w:val="none" w:sz="0" w:space="0" w:color="auto"/>
        <w:right w:val="none" w:sz="0" w:space="0" w:color="auto"/>
      </w:divBdr>
    </w:div>
    <w:div w:id="1981642415">
      <w:bodyDiv w:val="1"/>
      <w:marLeft w:val="0"/>
      <w:marRight w:val="0"/>
      <w:marTop w:val="0"/>
      <w:marBottom w:val="0"/>
      <w:divBdr>
        <w:top w:val="none" w:sz="0" w:space="0" w:color="auto"/>
        <w:left w:val="none" w:sz="0" w:space="0" w:color="auto"/>
        <w:bottom w:val="none" w:sz="0" w:space="0" w:color="auto"/>
        <w:right w:val="none" w:sz="0" w:space="0" w:color="auto"/>
      </w:divBdr>
    </w:div>
    <w:div w:id="1983608075">
      <w:bodyDiv w:val="1"/>
      <w:marLeft w:val="0"/>
      <w:marRight w:val="0"/>
      <w:marTop w:val="0"/>
      <w:marBottom w:val="0"/>
      <w:divBdr>
        <w:top w:val="none" w:sz="0" w:space="0" w:color="auto"/>
        <w:left w:val="none" w:sz="0" w:space="0" w:color="auto"/>
        <w:bottom w:val="none" w:sz="0" w:space="0" w:color="auto"/>
        <w:right w:val="none" w:sz="0" w:space="0" w:color="auto"/>
      </w:divBdr>
    </w:div>
    <w:div w:id="2046130088">
      <w:bodyDiv w:val="1"/>
      <w:marLeft w:val="0"/>
      <w:marRight w:val="0"/>
      <w:marTop w:val="0"/>
      <w:marBottom w:val="0"/>
      <w:divBdr>
        <w:top w:val="none" w:sz="0" w:space="0" w:color="auto"/>
        <w:left w:val="none" w:sz="0" w:space="0" w:color="auto"/>
        <w:bottom w:val="none" w:sz="0" w:space="0" w:color="auto"/>
        <w:right w:val="none" w:sz="0" w:space="0" w:color="auto"/>
      </w:divBdr>
    </w:div>
    <w:div w:id="2136831152">
      <w:bodyDiv w:val="1"/>
      <w:marLeft w:val="0"/>
      <w:marRight w:val="0"/>
      <w:marTop w:val="0"/>
      <w:marBottom w:val="0"/>
      <w:divBdr>
        <w:top w:val="none" w:sz="0" w:space="0" w:color="auto"/>
        <w:left w:val="none" w:sz="0" w:space="0" w:color="auto"/>
        <w:bottom w:val="none" w:sz="0" w:space="0" w:color="auto"/>
        <w:right w:val="none" w:sz="0" w:space="0" w:color="auto"/>
      </w:divBdr>
    </w:div>
    <w:div w:id="214238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k.karmakar\Desktop\July\1st%20Week_MOZAMBIQUE\TABLE%20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k.karmakar\Desktop\July\1st%20Week_MOZAMBIQUE\TABLE%20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t>Mozambique's Exports, Imports and BoT  2020-2024</a:t>
            </a:r>
          </a:p>
        </c:rich>
      </c:tx>
      <c:layout>
        <c:manualLayout>
          <c:xMode val="edge"/>
          <c:yMode val="edge"/>
          <c:x val="0.13316560782014925"/>
          <c:y val="6.9444604096021018E-2"/>
        </c:manualLayout>
      </c:layout>
      <c:overlay val="0"/>
      <c:spPr>
        <a:noFill/>
        <a:ln w="25400">
          <a:noFill/>
        </a:ln>
      </c:spPr>
    </c:title>
    <c:autoTitleDeleted val="0"/>
    <c:plotArea>
      <c:layout/>
      <c:barChart>
        <c:barDir val="col"/>
        <c:grouping val="clustered"/>
        <c:varyColors val="0"/>
        <c:ser>
          <c:idx val="0"/>
          <c:order val="0"/>
          <c:tx>
            <c:strRef>
              <c:f>Sheet1!$B$6:$B$8</c:f>
              <c:strCache>
                <c:ptCount val="1"/>
                <c:pt idx="0">
                  <c:v>Exports</c:v>
                </c:pt>
              </c:strCache>
            </c:strRef>
          </c:tx>
          <c:spPr>
            <a:solidFill>
              <a:srgbClr val="4F81BD"/>
            </a:solidFill>
            <a:ln w="25400">
              <a:noFill/>
            </a:ln>
          </c:spPr>
          <c:invertIfNegative val="0"/>
          <c:cat>
            <c:numRef>
              <c:f>Sheet1!$A$9:$A$13</c:f>
              <c:numCache>
                <c:formatCode>General</c:formatCode>
                <c:ptCount val="5"/>
                <c:pt idx="0">
                  <c:v>2020</c:v>
                </c:pt>
                <c:pt idx="1">
                  <c:v>2021</c:v>
                </c:pt>
                <c:pt idx="2">
                  <c:v>2022</c:v>
                </c:pt>
                <c:pt idx="3">
                  <c:v>2023</c:v>
                </c:pt>
                <c:pt idx="4">
                  <c:v>2024</c:v>
                </c:pt>
              </c:numCache>
            </c:numRef>
          </c:cat>
          <c:val>
            <c:numRef>
              <c:f>Sheet1!$B$9:$B$13</c:f>
              <c:numCache>
                <c:formatCode>0</c:formatCode>
                <c:ptCount val="5"/>
                <c:pt idx="0">
                  <c:v>3720</c:v>
                </c:pt>
                <c:pt idx="1">
                  <c:v>5704</c:v>
                </c:pt>
                <c:pt idx="2">
                  <c:v>8299</c:v>
                </c:pt>
                <c:pt idx="3">
                  <c:v>8276</c:v>
                </c:pt>
                <c:pt idx="4">
                  <c:v>8211</c:v>
                </c:pt>
              </c:numCache>
            </c:numRef>
          </c:val>
          <c:extLst>
            <c:ext xmlns:c16="http://schemas.microsoft.com/office/drawing/2014/chart" uri="{C3380CC4-5D6E-409C-BE32-E72D297353CC}">
              <c16:uniqueId val="{00000000-ED99-4D5A-98EB-AFD3F19E84A0}"/>
            </c:ext>
          </c:extLst>
        </c:ser>
        <c:ser>
          <c:idx val="1"/>
          <c:order val="1"/>
          <c:tx>
            <c:strRef>
              <c:f>Sheet1!$D$6:$D$8</c:f>
              <c:strCache>
                <c:ptCount val="1"/>
                <c:pt idx="0">
                  <c:v>Imports</c:v>
                </c:pt>
              </c:strCache>
            </c:strRef>
          </c:tx>
          <c:spPr>
            <a:solidFill>
              <a:srgbClr val="C0504D"/>
            </a:solidFill>
            <a:ln w="25400">
              <a:noFill/>
            </a:ln>
          </c:spPr>
          <c:invertIfNegative val="0"/>
          <c:cat>
            <c:numRef>
              <c:f>Sheet1!$A$9:$A$13</c:f>
              <c:numCache>
                <c:formatCode>General</c:formatCode>
                <c:ptCount val="5"/>
                <c:pt idx="0">
                  <c:v>2020</c:v>
                </c:pt>
                <c:pt idx="1">
                  <c:v>2021</c:v>
                </c:pt>
                <c:pt idx="2">
                  <c:v>2022</c:v>
                </c:pt>
                <c:pt idx="3">
                  <c:v>2023</c:v>
                </c:pt>
                <c:pt idx="4">
                  <c:v>2024</c:v>
                </c:pt>
              </c:numCache>
            </c:numRef>
          </c:cat>
          <c:val>
            <c:numRef>
              <c:f>Sheet1!$D$9:$D$13</c:f>
              <c:numCache>
                <c:formatCode>0</c:formatCode>
                <c:ptCount val="5"/>
                <c:pt idx="0">
                  <c:v>6514</c:v>
                </c:pt>
                <c:pt idx="1">
                  <c:v>8758</c:v>
                </c:pt>
                <c:pt idx="2">
                  <c:v>14671</c:v>
                </c:pt>
                <c:pt idx="3">
                  <c:v>10092</c:v>
                </c:pt>
                <c:pt idx="4">
                  <c:v>9213</c:v>
                </c:pt>
              </c:numCache>
            </c:numRef>
          </c:val>
          <c:extLst>
            <c:ext xmlns:c16="http://schemas.microsoft.com/office/drawing/2014/chart" uri="{C3380CC4-5D6E-409C-BE32-E72D297353CC}">
              <c16:uniqueId val="{00000001-ED99-4D5A-98EB-AFD3F19E84A0}"/>
            </c:ext>
          </c:extLst>
        </c:ser>
        <c:ser>
          <c:idx val="2"/>
          <c:order val="2"/>
          <c:tx>
            <c:strRef>
              <c:f>Sheet1!$H$6:$H$8</c:f>
              <c:strCache>
                <c:ptCount val="1"/>
                <c:pt idx="0">
                  <c:v>Balance of Trade</c:v>
                </c:pt>
              </c:strCache>
            </c:strRef>
          </c:tx>
          <c:spPr>
            <a:solidFill>
              <a:srgbClr val="9BBB59"/>
            </a:solidFill>
            <a:ln w="25400">
              <a:noFill/>
            </a:ln>
          </c:spPr>
          <c:invertIfNegative val="0"/>
          <c:cat>
            <c:numRef>
              <c:f>Sheet1!$A$9:$A$13</c:f>
              <c:numCache>
                <c:formatCode>General</c:formatCode>
                <c:ptCount val="5"/>
                <c:pt idx="0">
                  <c:v>2020</c:v>
                </c:pt>
                <c:pt idx="1">
                  <c:v>2021</c:v>
                </c:pt>
                <c:pt idx="2">
                  <c:v>2022</c:v>
                </c:pt>
                <c:pt idx="3">
                  <c:v>2023</c:v>
                </c:pt>
                <c:pt idx="4">
                  <c:v>2024</c:v>
                </c:pt>
              </c:numCache>
            </c:numRef>
          </c:cat>
          <c:val>
            <c:numRef>
              <c:f>Sheet1!$H$9:$H$13</c:f>
              <c:numCache>
                <c:formatCode>General</c:formatCode>
                <c:ptCount val="5"/>
                <c:pt idx="0">
                  <c:v>-2794</c:v>
                </c:pt>
                <c:pt idx="1">
                  <c:v>-3054</c:v>
                </c:pt>
                <c:pt idx="2">
                  <c:v>-6372</c:v>
                </c:pt>
                <c:pt idx="3">
                  <c:v>-1816</c:v>
                </c:pt>
                <c:pt idx="4">
                  <c:v>-1002</c:v>
                </c:pt>
              </c:numCache>
            </c:numRef>
          </c:val>
          <c:extLst>
            <c:ext xmlns:c16="http://schemas.microsoft.com/office/drawing/2014/chart" uri="{C3380CC4-5D6E-409C-BE32-E72D297353CC}">
              <c16:uniqueId val="{00000002-ED99-4D5A-98EB-AFD3F19E84A0}"/>
            </c:ext>
          </c:extLst>
        </c:ser>
        <c:dLbls>
          <c:showLegendKey val="0"/>
          <c:showVal val="0"/>
          <c:showCatName val="0"/>
          <c:showSerName val="0"/>
          <c:showPercent val="0"/>
          <c:showBubbleSize val="0"/>
        </c:dLbls>
        <c:gapWidth val="219"/>
        <c:overlap val="-27"/>
        <c:axId val="66127360"/>
        <c:axId val="66128896"/>
      </c:barChart>
      <c:catAx>
        <c:axId val="66127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6128896"/>
        <c:crosses val="autoZero"/>
        <c:auto val="1"/>
        <c:lblAlgn val="ctr"/>
        <c:lblOffset val="100"/>
        <c:noMultiLvlLbl val="0"/>
      </c:catAx>
      <c:valAx>
        <c:axId val="6612889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USD Mln</a:t>
                </a:r>
              </a:p>
            </c:rich>
          </c:tx>
          <c:overlay val="0"/>
          <c:spPr>
            <a:noFill/>
            <a:ln w="25400">
              <a:noFill/>
            </a:ln>
          </c:spPr>
        </c:title>
        <c:numFmt formatCode="0" sourceLinked="1"/>
        <c:majorTickMark val="none"/>
        <c:minorTickMark val="none"/>
        <c:tickLblPos val="nextTo"/>
        <c:spPr>
          <a:ln w="9525">
            <a:noFill/>
          </a:ln>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6127360"/>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333333"/>
                </a:solidFill>
                <a:latin typeface="Times New Roman"/>
                <a:ea typeface="Times New Roman"/>
                <a:cs typeface="Times New Roman"/>
              </a:defRPr>
            </a:pPr>
            <a:r>
              <a:rPr lang="en-IN"/>
              <a:t>India's Exports, Imports BoT w.r.t. </a:t>
            </a:r>
            <a:r>
              <a:rPr lang="en-IN" baseline="0"/>
              <a:t> Mozambique </a:t>
            </a:r>
            <a:r>
              <a:rPr lang="en-IN"/>
              <a:t>2020-21 to 2024-25</a:t>
            </a:r>
          </a:p>
        </c:rich>
      </c:tx>
      <c:layout>
        <c:manualLayout>
          <c:xMode val="edge"/>
          <c:yMode val="edge"/>
          <c:x val="0.26680676009001375"/>
          <c:y val="7.9398358033528876E-2"/>
        </c:manualLayout>
      </c:layout>
      <c:overlay val="0"/>
      <c:spPr>
        <a:noFill/>
        <a:ln w="25400">
          <a:noFill/>
        </a:ln>
      </c:spPr>
    </c:title>
    <c:autoTitleDeleted val="0"/>
    <c:plotArea>
      <c:layout>
        <c:manualLayout>
          <c:layoutTarget val="inner"/>
          <c:xMode val="edge"/>
          <c:yMode val="edge"/>
          <c:x val="0.20928551573766174"/>
          <c:y val="0.20573443171088818"/>
          <c:w val="0.74258881869020565"/>
          <c:h val="0.65618492128717265"/>
        </c:manualLayout>
      </c:layout>
      <c:barChart>
        <c:barDir val="col"/>
        <c:grouping val="clustered"/>
        <c:varyColors val="0"/>
        <c:ser>
          <c:idx val="0"/>
          <c:order val="0"/>
          <c:tx>
            <c:strRef>
              <c:f>Sheet1!$B$5:$B$7</c:f>
              <c:strCache>
                <c:ptCount val="1"/>
                <c:pt idx="0">
                  <c:v> Exports  from India to Mozambique</c:v>
                </c:pt>
              </c:strCache>
            </c:strRef>
          </c:tx>
          <c:spPr>
            <a:solidFill>
              <a:srgbClr val="4F81BD"/>
            </a:solidFill>
            <a:ln w="25400">
              <a:noFill/>
            </a:ln>
          </c:spPr>
          <c:invertIfNegative val="0"/>
          <c:cat>
            <c:strRef>
              <c:f>Sheet1!$A$8:$A$12</c:f>
              <c:strCache>
                <c:ptCount val="5"/>
                <c:pt idx="0">
                  <c:v>2020-21</c:v>
                </c:pt>
                <c:pt idx="1">
                  <c:v>2021-22</c:v>
                </c:pt>
                <c:pt idx="2">
                  <c:v>2022-23</c:v>
                </c:pt>
                <c:pt idx="3">
                  <c:v>2023-24</c:v>
                </c:pt>
                <c:pt idx="4">
                  <c:v>2024-25</c:v>
                </c:pt>
              </c:strCache>
            </c:strRef>
          </c:cat>
          <c:val>
            <c:numRef>
              <c:f>Sheet1!$B$8:$B$12</c:f>
              <c:numCache>
                <c:formatCode>0.00</c:formatCode>
                <c:ptCount val="5"/>
                <c:pt idx="0">
                  <c:v>1231.3399999999999</c:v>
                </c:pt>
                <c:pt idx="1">
                  <c:v>1975.76</c:v>
                </c:pt>
                <c:pt idx="2">
                  <c:v>2506.4699999999998</c:v>
                </c:pt>
                <c:pt idx="3">
                  <c:v>1996</c:v>
                </c:pt>
                <c:pt idx="4">
                  <c:v>1323.3899999999999</c:v>
                </c:pt>
              </c:numCache>
            </c:numRef>
          </c:val>
          <c:extLst>
            <c:ext xmlns:c16="http://schemas.microsoft.com/office/drawing/2014/chart" uri="{C3380CC4-5D6E-409C-BE32-E72D297353CC}">
              <c16:uniqueId val="{00000000-DEBE-4F06-A64D-913CE22E3946}"/>
            </c:ext>
          </c:extLst>
        </c:ser>
        <c:ser>
          <c:idx val="1"/>
          <c:order val="1"/>
          <c:tx>
            <c:strRef>
              <c:f>Sheet1!$D$5:$D$7</c:f>
              <c:strCache>
                <c:ptCount val="1"/>
                <c:pt idx="0">
                  <c:v>Imports from Mozambique to India</c:v>
                </c:pt>
              </c:strCache>
            </c:strRef>
          </c:tx>
          <c:spPr>
            <a:solidFill>
              <a:srgbClr val="C0504D"/>
            </a:solidFill>
            <a:ln w="25400">
              <a:noFill/>
            </a:ln>
          </c:spPr>
          <c:invertIfNegative val="0"/>
          <c:cat>
            <c:strRef>
              <c:f>Sheet1!$A$8:$A$12</c:f>
              <c:strCache>
                <c:ptCount val="5"/>
                <c:pt idx="0">
                  <c:v>2020-21</c:v>
                </c:pt>
                <c:pt idx="1">
                  <c:v>2021-22</c:v>
                </c:pt>
                <c:pt idx="2">
                  <c:v>2022-23</c:v>
                </c:pt>
                <c:pt idx="3">
                  <c:v>2023-24</c:v>
                </c:pt>
                <c:pt idx="4">
                  <c:v>2024-25</c:v>
                </c:pt>
              </c:strCache>
            </c:strRef>
          </c:cat>
          <c:val>
            <c:numRef>
              <c:f>Sheet1!$D$8:$D$12</c:f>
              <c:numCache>
                <c:formatCode>0.00</c:formatCode>
                <c:ptCount val="5"/>
                <c:pt idx="0">
                  <c:v>631.6</c:v>
                </c:pt>
                <c:pt idx="1">
                  <c:v>1879.49</c:v>
                </c:pt>
                <c:pt idx="2">
                  <c:v>2521.96</c:v>
                </c:pt>
                <c:pt idx="3">
                  <c:v>2419.11</c:v>
                </c:pt>
                <c:pt idx="4">
                  <c:v>2097.2399999999998</c:v>
                </c:pt>
              </c:numCache>
            </c:numRef>
          </c:val>
          <c:extLst>
            <c:ext xmlns:c16="http://schemas.microsoft.com/office/drawing/2014/chart" uri="{C3380CC4-5D6E-409C-BE32-E72D297353CC}">
              <c16:uniqueId val="{00000001-DEBE-4F06-A64D-913CE22E3946}"/>
            </c:ext>
          </c:extLst>
        </c:ser>
        <c:ser>
          <c:idx val="2"/>
          <c:order val="2"/>
          <c:tx>
            <c:strRef>
              <c:f>Sheet1!$H$5:$H$7</c:f>
              <c:strCache>
                <c:ptCount val="1"/>
                <c:pt idx="0">
                  <c:v>Balance of Trade</c:v>
                </c:pt>
              </c:strCache>
            </c:strRef>
          </c:tx>
          <c:spPr>
            <a:solidFill>
              <a:srgbClr val="9BBB59"/>
            </a:solidFill>
            <a:ln w="25400">
              <a:noFill/>
            </a:ln>
          </c:spPr>
          <c:invertIfNegative val="0"/>
          <c:cat>
            <c:strRef>
              <c:f>Sheet1!$A$8:$A$12</c:f>
              <c:strCache>
                <c:ptCount val="5"/>
                <c:pt idx="0">
                  <c:v>2020-21</c:v>
                </c:pt>
                <c:pt idx="1">
                  <c:v>2021-22</c:v>
                </c:pt>
                <c:pt idx="2">
                  <c:v>2022-23</c:v>
                </c:pt>
                <c:pt idx="3">
                  <c:v>2023-24</c:v>
                </c:pt>
                <c:pt idx="4">
                  <c:v>2024-25</c:v>
                </c:pt>
              </c:strCache>
            </c:strRef>
          </c:cat>
          <c:val>
            <c:numRef>
              <c:f>Sheet1!$H$8:$H$12</c:f>
              <c:numCache>
                <c:formatCode>0.00</c:formatCode>
                <c:ptCount val="5"/>
                <c:pt idx="0">
                  <c:v>599.7399999999999</c:v>
                </c:pt>
                <c:pt idx="1">
                  <c:v>96.27</c:v>
                </c:pt>
                <c:pt idx="2">
                  <c:v>-15.490000000000236</c:v>
                </c:pt>
                <c:pt idx="3">
                  <c:v>-423.11000000000018</c:v>
                </c:pt>
                <c:pt idx="4">
                  <c:v>-773.84999999999832</c:v>
                </c:pt>
              </c:numCache>
            </c:numRef>
          </c:val>
          <c:extLst>
            <c:ext xmlns:c16="http://schemas.microsoft.com/office/drawing/2014/chart" uri="{C3380CC4-5D6E-409C-BE32-E72D297353CC}">
              <c16:uniqueId val="{00000002-DEBE-4F06-A64D-913CE22E3946}"/>
            </c:ext>
          </c:extLst>
        </c:ser>
        <c:dLbls>
          <c:showLegendKey val="0"/>
          <c:showVal val="0"/>
          <c:showCatName val="0"/>
          <c:showSerName val="0"/>
          <c:showPercent val="0"/>
          <c:showBubbleSize val="0"/>
        </c:dLbls>
        <c:gapWidth val="219"/>
        <c:overlap val="-27"/>
        <c:axId val="66360064"/>
        <c:axId val="66361600"/>
      </c:barChart>
      <c:catAx>
        <c:axId val="66360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1" i="0" u="none" strike="noStrike" baseline="0">
                <a:solidFill>
                  <a:srgbClr val="333333"/>
                </a:solidFill>
                <a:latin typeface="Times New Roman"/>
                <a:ea typeface="Times New Roman"/>
                <a:cs typeface="Times New Roman"/>
              </a:defRPr>
            </a:pPr>
            <a:endParaRPr lang="en-US"/>
          </a:p>
        </c:txPr>
        <c:crossAx val="66361600"/>
        <c:crosses val="autoZero"/>
        <c:auto val="1"/>
        <c:lblAlgn val="ctr"/>
        <c:lblOffset val="100"/>
        <c:noMultiLvlLbl val="0"/>
      </c:catAx>
      <c:valAx>
        <c:axId val="66361600"/>
        <c:scaling>
          <c:orientation val="minMax"/>
        </c:scaling>
        <c:delete val="0"/>
        <c:axPos val="l"/>
        <c:majorGridlines>
          <c:spPr>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jorGridlines>
        <c:title>
          <c:tx>
            <c:rich>
              <a:bodyPr/>
              <a:lstStyle/>
              <a:p>
                <a:pPr>
                  <a:defRPr sz="1000" b="0" i="0" u="none" strike="noStrike" baseline="0">
                    <a:solidFill>
                      <a:srgbClr val="333333"/>
                    </a:solidFill>
                    <a:latin typeface="Times New Roman"/>
                    <a:ea typeface="Times New Roman"/>
                    <a:cs typeface="Times New Roman"/>
                  </a:defRPr>
                </a:pPr>
                <a:r>
                  <a:rPr lang="en-IN"/>
                  <a:t>INR Crores</a:t>
                </a:r>
              </a:p>
            </c:rich>
          </c:tx>
          <c:overlay val="0"/>
          <c:spPr>
            <a:noFill/>
            <a:ln w="25400">
              <a:noFill/>
            </a:ln>
          </c:spPr>
        </c:title>
        <c:numFmt formatCode="0.00" sourceLinked="1"/>
        <c:majorTickMark val="none"/>
        <c:minorTickMark val="none"/>
        <c:tickLblPos val="low"/>
        <c:spPr>
          <a:ln w="9525">
            <a:noFill/>
          </a:ln>
        </c:spPr>
        <c:txPr>
          <a:bodyPr rot="0" vert="horz"/>
          <a:lstStyle/>
          <a:p>
            <a:pPr>
              <a:defRPr sz="900" b="1" i="0" u="none" strike="noStrike" baseline="0">
                <a:solidFill>
                  <a:srgbClr val="333333"/>
                </a:solidFill>
                <a:latin typeface="Times New Roman"/>
                <a:ea typeface="Times New Roman"/>
                <a:cs typeface="Times New Roman"/>
              </a:defRPr>
            </a:pPr>
            <a:endParaRPr lang="en-US"/>
          </a:p>
        </c:txPr>
        <c:crossAx val="66360064"/>
        <c:crosses val="autoZero"/>
        <c:crossBetween val="between"/>
      </c:valAx>
      <c:spPr>
        <a:noFill/>
        <a:ln w="25400">
          <a:noFill/>
        </a:ln>
      </c:spPr>
    </c:plotArea>
    <c:legend>
      <c:legendPos val="b"/>
      <c:layout>
        <c:manualLayout>
          <c:xMode val="edge"/>
          <c:yMode val="edge"/>
          <c:x val="0.22849154156839802"/>
          <c:y val="0.93893121945615465"/>
          <c:w val="0.70545890163095659"/>
          <c:h val="6.1068780543846346E-2"/>
        </c:manualLayout>
      </c:layout>
      <c:overlay val="0"/>
      <c:spPr>
        <a:noFill/>
        <a:ln w="25400">
          <a:noFill/>
        </a:ln>
      </c:spPr>
      <c:txPr>
        <a:bodyPr/>
        <a:lstStyle/>
        <a:p>
          <a:pPr>
            <a:defRPr sz="825" b="0" i="0" u="none" strike="noStrike" baseline="0">
              <a:solidFill>
                <a:srgbClr val="333333"/>
              </a:solidFill>
              <a:latin typeface="Times New Roman"/>
              <a:ea typeface="Times New Roman"/>
              <a:cs typeface="Times New Roman"/>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EE1FE-DB89-4269-8502-809F5E75D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2068</TotalTime>
  <Pages>7</Pages>
  <Words>2658</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rk.karmakar</dc:creator>
  <cp:lastModifiedBy>Biswa Bihari Panigrahi</cp:lastModifiedBy>
  <cp:revision>1070</cp:revision>
  <cp:lastPrinted>2024-01-05T06:28:00Z</cp:lastPrinted>
  <dcterms:created xsi:type="dcterms:W3CDTF">2023-12-15T09:45:00Z</dcterms:created>
  <dcterms:modified xsi:type="dcterms:W3CDTF">2026-07-09T06:52:00Z</dcterms:modified>
</cp:coreProperties>
</file>