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1F95" w14:textId="3814BCAC" w:rsidR="002943DC" w:rsidRPr="006F4D5B" w:rsidRDefault="002943DC" w:rsidP="002943DC">
      <w:pPr>
        <w:ind w:left="-284" w:right="392"/>
        <w:jc w:val="center"/>
        <w:rPr>
          <w:rFonts w:ascii="Times New Roman" w:hAnsi="Times New Roman" w:cs="Times New Roman"/>
          <w:b/>
          <w:bCs/>
          <w:w w:val="115"/>
        </w:rPr>
      </w:pPr>
      <w:r w:rsidRPr="006F4D5B">
        <w:rPr>
          <w:rFonts w:ascii="Times New Roman" w:hAnsi="Times New Roman" w:cs="Times New Roman"/>
          <w:b/>
          <w:bCs/>
          <w:w w:val="115"/>
        </w:rPr>
        <w:t>Brief Embassy Report on Bilateral Relations – ITJ Division, DGCI&amp;S, Kolkata</w:t>
      </w:r>
    </w:p>
    <w:p w14:paraId="62CF65A7" w14:textId="011FBA01" w:rsidR="002943DC" w:rsidRPr="002943DC" w:rsidRDefault="002943DC" w:rsidP="002943DC">
      <w:pPr>
        <w:spacing w:before="135"/>
        <w:ind w:left="2268" w:right="2366" w:hanging="992"/>
        <w:jc w:val="center"/>
        <w:rPr>
          <w:rFonts w:ascii="Times New Roman" w:hAnsi="Times New Roman" w:cs="Times New Roman"/>
          <w:b/>
          <w:bCs/>
          <w:w w:val="105"/>
          <w:sz w:val="24"/>
          <w:szCs w:val="24"/>
        </w:rPr>
      </w:pPr>
      <w:r w:rsidRPr="002943DC">
        <w:rPr>
          <w:rFonts w:ascii="Times New Roman" w:hAnsi="Times New Roman" w:cs="Times New Roman"/>
          <w:b/>
          <w:bCs/>
          <w:spacing w:val="-1"/>
          <w:w w:val="105"/>
          <w:sz w:val="24"/>
          <w:szCs w:val="24"/>
        </w:rPr>
        <w:t xml:space="preserve">            India-United Arab Emirates </w:t>
      </w:r>
      <w:r w:rsidRPr="002943DC">
        <w:rPr>
          <w:rFonts w:ascii="Times New Roman" w:hAnsi="Times New Roman" w:cs="Times New Roman"/>
          <w:b/>
          <w:bCs/>
          <w:w w:val="105"/>
          <w:sz w:val="24"/>
          <w:szCs w:val="24"/>
        </w:rPr>
        <w:t>Bilateral</w:t>
      </w:r>
      <w:r w:rsidR="00193D95">
        <w:rPr>
          <w:rFonts w:ascii="Times New Roman" w:hAnsi="Times New Roman" w:cs="Times New Roman"/>
          <w:b/>
          <w:bCs/>
          <w:w w:val="105"/>
          <w:sz w:val="24"/>
          <w:szCs w:val="24"/>
        </w:rPr>
        <w:t xml:space="preserve"> </w:t>
      </w:r>
      <w:r w:rsidRPr="002943DC">
        <w:rPr>
          <w:rFonts w:ascii="Times New Roman" w:hAnsi="Times New Roman" w:cs="Times New Roman"/>
          <w:b/>
          <w:bCs/>
          <w:w w:val="105"/>
          <w:sz w:val="24"/>
          <w:szCs w:val="24"/>
        </w:rPr>
        <w:t>Relations</w:t>
      </w:r>
    </w:p>
    <w:p w14:paraId="497B9F4B" w14:textId="77777777" w:rsidR="002943DC" w:rsidRPr="002943DC" w:rsidRDefault="002943DC" w:rsidP="002943DC">
      <w:pPr>
        <w:spacing w:before="1"/>
        <w:rPr>
          <w:rFonts w:ascii="Times New Roman" w:hAnsi="Times New Roman" w:cs="Times New Roman"/>
          <w:b/>
          <w:sz w:val="24"/>
          <w:szCs w:val="24"/>
        </w:rPr>
      </w:pPr>
    </w:p>
    <w:p w14:paraId="269AE21B" w14:textId="77777777" w:rsidR="002943DC" w:rsidRPr="002943DC" w:rsidRDefault="002943DC" w:rsidP="002943DC">
      <w:pPr>
        <w:spacing w:line="252" w:lineRule="auto"/>
        <w:ind w:right="121"/>
        <w:rPr>
          <w:rFonts w:ascii="Times New Roman" w:hAnsi="Times New Roman" w:cs="Times New Roman"/>
          <w:b/>
          <w:bCs/>
          <w:w w:val="105"/>
          <w:u w:val="single"/>
        </w:rPr>
      </w:pPr>
      <w:r w:rsidRPr="002943DC">
        <w:rPr>
          <w:rFonts w:ascii="Times New Roman" w:hAnsi="Times New Roman" w:cs="Times New Roman"/>
          <w:b/>
          <w:bCs/>
          <w:w w:val="105"/>
        </w:rPr>
        <w:t>A</w:t>
      </w:r>
      <w:r w:rsidRPr="002943DC">
        <w:rPr>
          <w:rFonts w:ascii="Times New Roman" w:hAnsi="Times New Roman" w:cs="Times New Roman"/>
          <w:w w:val="105"/>
        </w:rPr>
        <w:t xml:space="preserve">.  </w:t>
      </w:r>
      <w:r w:rsidRPr="002943DC">
        <w:rPr>
          <w:rFonts w:ascii="Times New Roman" w:hAnsi="Times New Roman" w:cs="Times New Roman"/>
          <w:b/>
          <w:bCs/>
          <w:w w:val="105"/>
          <w:u w:val="single"/>
        </w:rPr>
        <w:t>Introduction</w:t>
      </w:r>
    </w:p>
    <w:p w14:paraId="1EE0E1D4" w14:textId="77777777" w:rsidR="002943DC" w:rsidRPr="002943DC" w:rsidRDefault="002943DC" w:rsidP="002943DC">
      <w:pPr>
        <w:spacing w:line="252" w:lineRule="auto"/>
        <w:ind w:right="121"/>
        <w:rPr>
          <w:rFonts w:ascii="Times New Roman" w:hAnsi="Times New Roman" w:cs="Times New Roman"/>
          <w:b/>
          <w:bCs/>
          <w:w w:val="105"/>
          <w:u w:val="single"/>
        </w:rPr>
      </w:pPr>
    </w:p>
    <w:p w14:paraId="34444873" w14:textId="517FE0B7" w:rsidR="002943DC" w:rsidRPr="002943DC" w:rsidRDefault="002943DC" w:rsidP="00193D95">
      <w:pPr>
        <w:spacing w:line="252" w:lineRule="auto"/>
        <w:ind w:right="15"/>
        <w:jc w:val="both"/>
        <w:rPr>
          <w:rFonts w:ascii="Times New Roman" w:hAnsi="Times New Roman" w:cs="Times New Roman"/>
          <w:b/>
          <w:bCs/>
          <w:w w:val="105"/>
          <w:u w:val="single"/>
        </w:rPr>
      </w:pPr>
      <w:r w:rsidRPr="002943DC">
        <w:rPr>
          <w:rFonts w:ascii="Times New Roman" w:hAnsi="Times New Roman" w:cs="Times New Roman"/>
          <w:sz w:val="24"/>
          <w:szCs w:val="24"/>
        </w:rPr>
        <w:t>1.</w:t>
      </w:r>
      <w:r w:rsidR="00193D95" w:rsidRPr="002943DC">
        <w:rPr>
          <w:rFonts w:ascii="Times New Roman" w:hAnsi="Times New Roman" w:cs="Times New Roman"/>
          <w:sz w:val="24"/>
          <w:szCs w:val="24"/>
        </w:rPr>
        <w:t>Indian</w:t>
      </w:r>
      <w:r w:rsidR="00193D95">
        <w:rPr>
          <w:rFonts w:ascii="Times New Roman" w:hAnsi="Times New Roman" w:cs="Times New Roman"/>
          <w:sz w:val="24"/>
          <w:szCs w:val="24"/>
        </w:rPr>
        <w:t xml:space="preserve"> </w:t>
      </w:r>
      <w:r w:rsidR="00193D95" w:rsidRPr="002943DC">
        <w:rPr>
          <w:rFonts w:ascii="Times New Roman" w:hAnsi="Times New Roman" w:cs="Times New Roman"/>
          <w:sz w:val="24"/>
          <w:szCs w:val="24"/>
        </w:rPr>
        <w:t>Trade</w:t>
      </w:r>
      <w:r w:rsidR="00193D95">
        <w:rPr>
          <w:rFonts w:ascii="Times New Roman" w:hAnsi="Times New Roman" w:cs="Times New Roman"/>
          <w:sz w:val="24"/>
          <w:szCs w:val="24"/>
        </w:rPr>
        <w:t xml:space="preserve"> </w:t>
      </w:r>
      <w:r w:rsidR="00193D95" w:rsidRPr="002943DC">
        <w:rPr>
          <w:rFonts w:ascii="Times New Roman" w:hAnsi="Times New Roman" w:cs="Times New Roman"/>
          <w:sz w:val="24"/>
          <w:szCs w:val="24"/>
        </w:rPr>
        <w:t>Journal</w:t>
      </w:r>
      <w:r w:rsidR="00193D95">
        <w:rPr>
          <w:rFonts w:ascii="Times New Roman" w:hAnsi="Times New Roman" w:cs="Times New Roman"/>
          <w:sz w:val="24"/>
          <w:szCs w:val="24"/>
        </w:rPr>
        <w:t xml:space="preserve"> </w:t>
      </w:r>
      <w:r w:rsidR="00193D95" w:rsidRPr="002943DC">
        <w:rPr>
          <w:rFonts w:ascii="Times New Roman" w:hAnsi="Times New Roman" w:cs="Times New Roman"/>
          <w:sz w:val="24"/>
          <w:szCs w:val="24"/>
        </w:rPr>
        <w:t>(</w:t>
      </w:r>
      <w:r w:rsidRPr="002943DC">
        <w:rPr>
          <w:rFonts w:ascii="Times New Roman" w:hAnsi="Times New Roman" w:cs="Times New Roman"/>
          <w:sz w:val="24"/>
          <w:szCs w:val="24"/>
        </w:rPr>
        <w:t>ITJ)</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division</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of</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the</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Director</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General</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of</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Commercial</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Intelligence</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and</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Statistics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(DGCI</w:t>
      </w:r>
      <w:r w:rsidR="00193D95">
        <w:rPr>
          <w:rFonts w:ascii="Times New Roman" w:hAnsi="Times New Roman" w:cs="Times New Roman"/>
          <w:sz w:val="24"/>
          <w:szCs w:val="24"/>
        </w:rPr>
        <w:t>&amp;</w:t>
      </w:r>
      <w:r w:rsidRPr="002943DC">
        <w:rPr>
          <w:rFonts w:ascii="Times New Roman" w:hAnsi="Times New Roman" w:cs="Times New Roman"/>
          <w:sz w:val="24"/>
          <w:szCs w:val="24"/>
        </w:rPr>
        <w:t>S)</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brings</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out</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weekly</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publication</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on</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Embassy</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Profile</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Report</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providing information on recent policy changes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and</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happenings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in</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other</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countries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that</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may</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be of</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interest</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to</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the</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Indian</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trading</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community.</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This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is</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the</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Embassy</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Profile</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Report</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for</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01.07.2026</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depicting</w:t>
      </w:r>
      <w:r w:rsidR="00193D95">
        <w:rPr>
          <w:rFonts w:ascii="Times New Roman" w:hAnsi="Times New Roman" w:cs="Times New Roman"/>
          <w:sz w:val="24"/>
          <w:szCs w:val="24"/>
        </w:rPr>
        <w:t xml:space="preserve"> </w:t>
      </w:r>
      <w:r w:rsidRPr="002943DC">
        <w:rPr>
          <w:rFonts w:ascii="Times New Roman" w:hAnsi="Times New Roman" w:cs="Times New Roman"/>
          <w:sz w:val="24"/>
          <w:szCs w:val="24"/>
        </w:rPr>
        <w:t>the Embassy</w:t>
      </w:r>
      <w:r w:rsidR="008037BD">
        <w:rPr>
          <w:rFonts w:ascii="Times New Roman" w:hAnsi="Times New Roman" w:cs="Times New Roman"/>
          <w:sz w:val="24"/>
          <w:szCs w:val="24"/>
        </w:rPr>
        <w:t xml:space="preserve"> </w:t>
      </w:r>
      <w:r w:rsidRPr="002943DC">
        <w:rPr>
          <w:rFonts w:ascii="Times New Roman" w:hAnsi="Times New Roman" w:cs="Times New Roman"/>
          <w:sz w:val="24"/>
          <w:szCs w:val="24"/>
        </w:rPr>
        <w:t xml:space="preserve">of </w:t>
      </w:r>
      <w:r w:rsidRPr="002943DC">
        <w:rPr>
          <w:rFonts w:ascii="Times New Roman" w:hAnsi="Times New Roman" w:cs="Times New Roman"/>
          <w:b/>
          <w:bCs/>
          <w:spacing w:val="-1"/>
          <w:w w:val="105"/>
          <w:sz w:val="24"/>
          <w:szCs w:val="24"/>
        </w:rPr>
        <w:t>United Arab Emirates</w:t>
      </w:r>
      <w:r w:rsidRPr="002943DC">
        <w:rPr>
          <w:rFonts w:ascii="Times New Roman" w:hAnsi="Times New Roman" w:cs="Times New Roman"/>
          <w:sz w:val="24"/>
          <w:szCs w:val="24"/>
        </w:rPr>
        <w:t xml:space="preserve">.  </w:t>
      </w:r>
    </w:p>
    <w:p w14:paraId="3A9C33BA" w14:textId="77777777" w:rsidR="002943DC" w:rsidRPr="002943DC" w:rsidRDefault="002943DC" w:rsidP="002943DC">
      <w:pPr>
        <w:pStyle w:val="BodyText"/>
        <w:spacing w:before="81"/>
        <w:jc w:val="both"/>
        <w:rPr>
          <w:rFonts w:ascii="Times New Roman" w:hAnsi="Times New Roman" w:cs="Times New Roman"/>
          <w:b/>
        </w:rPr>
      </w:pPr>
    </w:p>
    <w:p w14:paraId="15793925" w14:textId="77777777" w:rsidR="002943DC" w:rsidRDefault="002943DC" w:rsidP="002943DC">
      <w:pPr>
        <w:pStyle w:val="BodyText"/>
        <w:spacing w:before="81"/>
        <w:jc w:val="both"/>
      </w:pPr>
      <w:r w:rsidRPr="002943DC">
        <w:rPr>
          <w:rFonts w:ascii="Times New Roman" w:hAnsi="Times New Roman" w:cs="Times New Roman"/>
          <w:bCs/>
          <w:sz w:val="22"/>
          <w:szCs w:val="22"/>
        </w:rPr>
        <w:t>2</w:t>
      </w:r>
      <w:r w:rsidRPr="002943DC">
        <w:rPr>
          <w:rFonts w:ascii="Times New Roman" w:hAnsi="Times New Roman" w:cs="Times New Roman"/>
          <w:b/>
        </w:rPr>
        <w:t xml:space="preserve">.  </w:t>
      </w:r>
      <w:r w:rsidRPr="002943DC">
        <w:rPr>
          <w:rFonts w:ascii="Times New Roman" w:hAnsi="Times New Roman" w:cs="Times New Roman"/>
        </w:rPr>
        <w:t>India and the UAE share a strong strategic partnership rooted in deep trade, historical, and cultural ties. The relationship features a massive Indian diaspora of over 4 million people in the UAE, high-level diplomatic visits, and booming bilateral commerce.</w:t>
      </w:r>
    </w:p>
    <w:p w14:paraId="6691FA5C" w14:textId="77777777" w:rsidR="002943DC" w:rsidRPr="002943DC" w:rsidRDefault="002943DC" w:rsidP="002943DC">
      <w:pPr>
        <w:pStyle w:val="BodyText"/>
        <w:spacing w:before="81"/>
        <w:jc w:val="both"/>
        <w:rPr>
          <w:rStyle w:val="Strong"/>
          <w:rFonts w:ascii="Times New Roman" w:hAnsi="Times New Roman" w:cs="Times New Roman"/>
          <w:color w:val="333333"/>
          <w:shd w:val="clear" w:color="auto" w:fill="FFFFFF"/>
        </w:rPr>
      </w:pPr>
    </w:p>
    <w:p w14:paraId="093E84ED" w14:textId="4EB80A9E" w:rsidR="002943DC" w:rsidRPr="006E63BE" w:rsidRDefault="002943DC" w:rsidP="002943DC">
      <w:pPr>
        <w:pStyle w:val="NormalWeb"/>
        <w:shd w:val="clear" w:color="auto" w:fill="FFFFFF"/>
        <w:spacing w:before="0" w:beforeAutospacing="0" w:after="420" w:afterAutospacing="0"/>
        <w:jc w:val="both"/>
        <w:rPr>
          <w:rFonts w:eastAsiaTheme="majorEastAsia"/>
        </w:rPr>
      </w:pPr>
      <w:r w:rsidRPr="002943DC">
        <w:rPr>
          <w:rStyle w:val="Strong"/>
          <w:rFonts w:eastAsiaTheme="majorEastAsia"/>
          <w:b w:val="0"/>
          <w:bCs w:val="0"/>
          <w:color w:val="333333"/>
          <w:shd w:val="clear" w:color="auto" w:fill="FFFFFF"/>
        </w:rPr>
        <w:t>3</w:t>
      </w:r>
      <w:r w:rsidRPr="002943DC">
        <w:rPr>
          <w:rStyle w:val="Strong"/>
          <w:rFonts w:eastAsiaTheme="majorEastAsia"/>
          <w:color w:val="333333"/>
          <w:shd w:val="clear" w:color="auto" w:fill="FFFFFF"/>
        </w:rPr>
        <w:t xml:space="preserve">.   </w:t>
      </w:r>
      <w:r w:rsidR="006E63BE" w:rsidRPr="006E63BE">
        <w:t xml:space="preserve">India and the UAE have strengthened </w:t>
      </w:r>
      <w:r w:rsidR="006B66F1" w:rsidRPr="006E63BE">
        <w:t>defence</w:t>
      </w:r>
      <w:r w:rsidR="006E63BE" w:rsidRPr="006E63BE">
        <w:t xml:space="preserve"> cooperation since 2003, marked by joint exercises like Desert Eagle and Gulf Star-1. The Annual Defen</w:t>
      </w:r>
      <w:r w:rsidR="00364D90">
        <w:t>c</w:t>
      </w:r>
      <w:r w:rsidR="006E63BE" w:rsidRPr="006E63BE">
        <w:t xml:space="preserve">e Dialogue and high-level visits have played pivotal roles. Counter-terrorism collaboration, including successful operations against terrorists, has been a focus since 2014. Notably, in December 2020, India and the UAE thwarted a terrorist attack in Delhi. India and the UAE, since 2014, have deepened ties with various agreements. </w:t>
      </w:r>
      <w:hyperlink r:id="rId4" w:tooltip="Narendra Modi" w:history="1">
        <w:r w:rsidR="006E63BE" w:rsidRPr="006E63BE">
          <w:rPr>
            <w:rStyle w:val="Hyperlink"/>
            <w:rFonts w:eastAsia="Arial"/>
            <w:color w:val="auto"/>
            <w:u w:val="none"/>
          </w:rPr>
          <w:t>PM Modi</w:t>
        </w:r>
      </w:hyperlink>
      <w:r w:rsidR="006E63BE" w:rsidRPr="006E63BE">
        <w:t xml:space="preserve"> and </w:t>
      </w:r>
      <w:hyperlink r:id="rId5" w:tooltip="Mohamed bin Zayed Al Nahyan" w:history="1">
        <w:r w:rsidR="006E63BE" w:rsidRPr="006E63BE">
          <w:rPr>
            <w:rStyle w:val="Hyperlink"/>
            <w:rFonts w:eastAsia="Arial"/>
            <w:color w:val="auto"/>
            <w:u w:val="none"/>
          </w:rPr>
          <w:t>President Al Nahyan's</w:t>
        </w:r>
      </w:hyperlink>
      <w:r w:rsidR="006E63BE" w:rsidRPr="006E63BE">
        <w:t xml:space="preserve"> rapport is highlighted. Plans include the first overseas IIT and </w:t>
      </w:r>
      <w:hyperlink r:id="rId6" w:tooltip="BAPS Hindu Mandir Abu Dhabi" w:history="1">
        <w:r w:rsidR="006E63BE" w:rsidRPr="006E63BE">
          <w:rPr>
            <w:rStyle w:val="Hyperlink"/>
            <w:rFonts w:eastAsia="Arial"/>
            <w:color w:val="auto"/>
            <w:u w:val="none"/>
          </w:rPr>
          <w:t>a Hindu temple</w:t>
        </w:r>
      </w:hyperlink>
      <w:r w:rsidR="006E63BE" w:rsidRPr="006E63BE">
        <w:t xml:space="preserve"> in Abu Dhabi, symbolizing harmony, which was inaugurated on February 14, 2024.</w:t>
      </w:r>
    </w:p>
    <w:p w14:paraId="3E7E21FC" w14:textId="1DA21057" w:rsidR="002943DC" w:rsidRPr="006E63BE" w:rsidRDefault="002943DC" w:rsidP="00D0744F">
      <w:pPr>
        <w:pStyle w:val="NormalWeb"/>
        <w:shd w:val="clear" w:color="auto" w:fill="FFFFFF"/>
        <w:spacing w:before="0" w:beforeAutospacing="0" w:after="420" w:afterAutospacing="0"/>
        <w:jc w:val="both"/>
      </w:pPr>
      <w:r w:rsidRPr="002943DC">
        <w:rPr>
          <w:color w:val="333333"/>
        </w:rPr>
        <w:t>4</w:t>
      </w:r>
      <w:r w:rsidRPr="002943DC">
        <w:rPr>
          <w:color w:val="333333"/>
          <w:sz w:val="27"/>
          <w:szCs w:val="27"/>
        </w:rPr>
        <w:t xml:space="preserve">.  </w:t>
      </w:r>
      <w:r w:rsidR="006E63BE" w:rsidRPr="006E63BE">
        <w:t xml:space="preserve">United Arab Emirates </w:t>
      </w:r>
      <w:r w:rsidR="002141D6">
        <w:t>i</w:t>
      </w:r>
      <w:r w:rsidR="006E63BE" w:rsidRPr="006E63BE">
        <w:t xml:space="preserve">s an increasingly important partner to India. According to the </w:t>
      </w:r>
      <w:hyperlink r:id="rId7" w:tooltip="Middle East Forum" w:history="1">
        <w:r w:rsidR="006E63BE" w:rsidRPr="006E63BE">
          <w:rPr>
            <w:rStyle w:val="Hyperlink"/>
            <w:rFonts w:eastAsia="Arial"/>
            <w:color w:val="auto"/>
            <w:u w:val="none"/>
          </w:rPr>
          <w:t>Middle East Forum</w:t>
        </w:r>
      </w:hyperlink>
      <w:r w:rsidR="006E63BE" w:rsidRPr="006E63BE">
        <w:t>, the relationship between the countries has improved from transactional procurement to a structured industrial and operational collaboration.</w:t>
      </w:r>
    </w:p>
    <w:p w14:paraId="07EA88A2" w14:textId="77777777" w:rsidR="002943DC" w:rsidRPr="002943DC" w:rsidRDefault="002943DC" w:rsidP="002943DC">
      <w:pPr>
        <w:pStyle w:val="BodyText"/>
        <w:spacing w:before="36"/>
        <w:rPr>
          <w:rFonts w:ascii="Times New Roman" w:hAnsi="Times New Roman" w:cs="Times New Roman"/>
        </w:rPr>
      </w:pPr>
    </w:p>
    <w:p w14:paraId="4B885849" w14:textId="4D347CEA" w:rsidR="002943DC" w:rsidRPr="002943DC" w:rsidRDefault="002943DC" w:rsidP="002943DC">
      <w:pPr>
        <w:pStyle w:val="Heading1"/>
        <w:rPr>
          <w:rFonts w:ascii="Times New Roman" w:hAnsi="Times New Roman" w:cs="Times New Roman"/>
        </w:rPr>
      </w:pPr>
      <w:r w:rsidRPr="002943DC">
        <w:rPr>
          <w:rFonts w:ascii="Times New Roman" w:hAnsi="Times New Roman" w:cs="Times New Roman"/>
        </w:rPr>
        <w:t xml:space="preserve">B. </w:t>
      </w:r>
      <w:r w:rsidRPr="002943DC">
        <w:rPr>
          <w:rFonts w:ascii="Times New Roman" w:hAnsi="Times New Roman" w:cs="Times New Roman"/>
          <w:u w:val="single"/>
        </w:rPr>
        <w:t>High</w:t>
      </w:r>
      <w:r w:rsidR="00664E6A">
        <w:rPr>
          <w:rFonts w:ascii="Times New Roman" w:hAnsi="Times New Roman" w:cs="Times New Roman"/>
          <w:u w:val="single"/>
        </w:rPr>
        <w:t xml:space="preserve"> </w:t>
      </w:r>
      <w:r w:rsidRPr="002943DC">
        <w:rPr>
          <w:rFonts w:ascii="Times New Roman" w:hAnsi="Times New Roman" w:cs="Times New Roman"/>
          <w:u w:val="single"/>
        </w:rPr>
        <w:t>Level</w:t>
      </w:r>
      <w:r w:rsidRPr="002943DC">
        <w:rPr>
          <w:rFonts w:ascii="Times New Roman" w:hAnsi="Times New Roman" w:cs="Times New Roman"/>
          <w:spacing w:val="-2"/>
          <w:u w:val="single"/>
        </w:rPr>
        <w:t xml:space="preserve"> Visits</w:t>
      </w:r>
    </w:p>
    <w:p w14:paraId="48AFD384" w14:textId="77777777" w:rsidR="002943DC" w:rsidRPr="002943DC" w:rsidRDefault="002943DC" w:rsidP="002943DC">
      <w:pPr>
        <w:pStyle w:val="BodyText"/>
        <w:spacing w:before="41"/>
        <w:rPr>
          <w:rFonts w:ascii="Times New Roman" w:hAnsi="Times New Roman" w:cs="Times New Roman"/>
          <w:b/>
        </w:rPr>
      </w:pPr>
    </w:p>
    <w:p w14:paraId="1C52577B" w14:textId="2EF2C861" w:rsidR="002943DC" w:rsidRDefault="00235001" w:rsidP="00235001">
      <w:pPr>
        <w:pStyle w:val="BodyText"/>
        <w:spacing w:line="276" w:lineRule="auto"/>
        <w:ind w:left="52" w:right="51"/>
        <w:jc w:val="both"/>
        <w:rPr>
          <w:rFonts w:ascii="Times New Roman" w:hAnsi="Times New Roman" w:cs="Times New Roman"/>
        </w:rPr>
      </w:pPr>
      <w:r w:rsidRPr="00235001">
        <w:rPr>
          <w:rFonts w:ascii="Times New Roman" w:hAnsi="Times New Roman" w:cs="Times New Roman"/>
        </w:rPr>
        <w:t>On 15 July 2023, Prime Minister of India Shri Narendra Modi visited the UAE for the fifth time, marking a significant milestone in the deepening of the UAE-India bilateral relationship. During this visit, three crucial Memorandums of Understanding (MoU) were signed. The first focused on establishing a framework to encourage the use of local currencies (AED-INR) for cross-border transactions by the Governors of the respective Central Banks. The second MoU pertained to the interlinking of payment and messaging systems, also endorsed by the Governors of the respective Central Banks. Lastly, plans were set in motion for the establishment of the Indian Institute of Technology – Delhi in Abu Dhabi. Prime Minister Modi's previous visits to the UAE occurred in August 2015, February 2018, in August 2019 when he received the Order of Zayed, and in June 2022 to convey greetings to HH Sheikh Mohamed bin Zayed Al Nahyan as he assumed the presidency of the UAE.</w:t>
      </w:r>
      <w:r w:rsidR="004D09FE">
        <w:rPr>
          <w:rFonts w:ascii="Times New Roman" w:hAnsi="Times New Roman" w:cs="Times New Roman"/>
        </w:rPr>
        <w:t xml:space="preserve"> (</w:t>
      </w:r>
      <w:r w:rsidR="004D09FE" w:rsidRPr="004D09FE">
        <w:rPr>
          <w:rFonts w:ascii="Times New Roman" w:hAnsi="Times New Roman" w:cs="Times New Roman"/>
          <w:i/>
          <w:iCs/>
        </w:rPr>
        <w:t>Source; Embassy of UAE, New Delhi</w:t>
      </w:r>
      <w:r w:rsidR="004D09FE">
        <w:rPr>
          <w:rFonts w:ascii="Times New Roman" w:hAnsi="Times New Roman" w:cs="Times New Roman"/>
        </w:rPr>
        <w:t>)</w:t>
      </w:r>
    </w:p>
    <w:p w14:paraId="1DF2CC13" w14:textId="77777777" w:rsidR="00235001" w:rsidRPr="00235001" w:rsidRDefault="00235001" w:rsidP="00235001">
      <w:pPr>
        <w:pStyle w:val="BodyText"/>
        <w:spacing w:line="276" w:lineRule="auto"/>
        <w:ind w:left="52" w:right="51"/>
        <w:jc w:val="both"/>
        <w:rPr>
          <w:rFonts w:ascii="Times New Roman" w:hAnsi="Times New Roman" w:cs="Times New Roman"/>
        </w:rPr>
      </w:pPr>
    </w:p>
    <w:p w14:paraId="068BA5D6" w14:textId="45BFD48A" w:rsidR="00235001" w:rsidRPr="002F0A90" w:rsidRDefault="007A72F3" w:rsidP="00235001">
      <w:pPr>
        <w:pStyle w:val="Heading2"/>
        <w:jc w:val="both"/>
        <w:rPr>
          <w:rFonts w:ascii="Times New Roman" w:eastAsia="Times New Roman" w:hAnsi="Times New Roman" w:cs="Times New Roman"/>
          <w:sz w:val="24"/>
          <w:szCs w:val="24"/>
          <w:lang w:val="en-IN" w:bidi="hi-IN"/>
        </w:rPr>
      </w:pPr>
      <w:r w:rsidRPr="004455EB">
        <w:rPr>
          <w:rFonts w:ascii="Times New Roman" w:hAnsi="Times New Roman" w:cs="Times New Roman"/>
          <w:b/>
          <w:bCs/>
          <w:color w:val="auto"/>
          <w:sz w:val="24"/>
          <w:szCs w:val="24"/>
        </w:rPr>
        <w:lastRenderedPageBreak/>
        <w:t>C</w:t>
      </w:r>
      <w:r w:rsidR="00235001" w:rsidRPr="004455EB">
        <w:rPr>
          <w:rFonts w:ascii="Times New Roman" w:hAnsi="Times New Roman" w:cs="Times New Roman"/>
          <w:b/>
          <w:bCs/>
          <w:color w:val="auto"/>
          <w:sz w:val="24"/>
          <w:szCs w:val="24"/>
        </w:rPr>
        <w:t>.</w:t>
      </w:r>
      <w:r w:rsidR="00235001" w:rsidRPr="002F0A90">
        <w:rPr>
          <w:rFonts w:ascii="Times New Roman" w:hAnsi="Times New Roman" w:cs="Times New Roman"/>
          <w:color w:val="auto"/>
          <w:sz w:val="24"/>
          <w:szCs w:val="24"/>
        </w:rPr>
        <w:t xml:space="preserve"> </w:t>
      </w:r>
      <w:r w:rsidR="00235001" w:rsidRPr="002F0A90">
        <w:rPr>
          <w:rFonts w:ascii="Times New Roman" w:hAnsi="Times New Roman" w:cs="Times New Roman"/>
          <w:b/>
          <w:bCs/>
          <w:color w:val="auto"/>
          <w:sz w:val="24"/>
          <w:szCs w:val="24"/>
        </w:rPr>
        <w:t>Golden Visa Initiative and Bilateral Engagement:</w:t>
      </w:r>
      <w:r w:rsidR="002F0A90" w:rsidRPr="002F0A90">
        <w:rPr>
          <w:rFonts w:ascii="Times New Roman" w:hAnsi="Times New Roman" w:cs="Times New Roman"/>
          <w:b/>
          <w:bCs/>
          <w:color w:val="auto"/>
          <w:sz w:val="24"/>
          <w:szCs w:val="24"/>
        </w:rPr>
        <w:t xml:space="preserve"> </w:t>
      </w:r>
      <w:r w:rsidR="00235001" w:rsidRPr="002F0A90">
        <w:rPr>
          <w:rFonts w:ascii="Times New Roman" w:hAnsi="Times New Roman" w:cs="Times New Roman"/>
          <w:color w:val="auto"/>
          <w:sz w:val="24"/>
          <w:szCs w:val="24"/>
        </w:rPr>
        <w:t xml:space="preserve">In 2025, the </w:t>
      </w:r>
      <w:hyperlink r:id="rId8" w:tooltip="United Arab Emirates" w:history="1">
        <w:r w:rsidR="00235001" w:rsidRPr="002F0A90">
          <w:rPr>
            <w:rStyle w:val="Hyperlink"/>
            <w:rFonts w:ascii="Times New Roman" w:hAnsi="Times New Roman" w:cs="Times New Roman"/>
            <w:color w:val="auto"/>
            <w:sz w:val="24"/>
            <w:szCs w:val="24"/>
          </w:rPr>
          <w:t>United Arab Emirates</w:t>
        </w:r>
      </w:hyperlink>
      <w:r w:rsidR="00235001" w:rsidRPr="002F0A90">
        <w:rPr>
          <w:rFonts w:ascii="Times New Roman" w:hAnsi="Times New Roman" w:cs="Times New Roman"/>
          <w:color w:val="auto"/>
          <w:sz w:val="24"/>
          <w:szCs w:val="24"/>
        </w:rPr>
        <w:t xml:space="preserve"> introduced a new nomination-based Golden </w:t>
      </w:r>
      <w:hyperlink r:id="rId9" w:tooltip="Travel visa" w:history="1">
        <w:r w:rsidR="00235001" w:rsidRPr="002F0A90">
          <w:rPr>
            <w:rStyle w:val="Hyperlink"/>
            <w:rFonts w:ascii="Times New Roman" w:hAnsi="Times New Roman" w:cs="Times New Roman"/>
            <w:color w:val="auto"/>
            <w:sz w:val="24"/>
            <w:szCs w:val="24"/>
          </w:rPr>
          <w:t>Visa</w:t>
        </w:r>
      </w:hyperlink>
      <w:r w:rsidR="00235001" w:rsidRPr="002F0A90">
        <w:rPr>
          <w:rFonts w:ascii="Times New Roman" w:hAnsi="Times New Roman" w:cs="Times New Roman"/>
          <w:color w:val="auto"/>
          <w:sz w:val="24"/>
          <w:szCs w:val="24"/>
        </w:rPr>
        <w:t xml:space="preserve"> scheme, signaling deepening ties with </w:t>
      </w:r>
      <w:hyperlink r:id="rId10" w:tooltip="India" w:history="1">
        <w:r w:rsidR="00235001" w:rsidRPr="002F0A90">
          <w:rPr>
            <w:rStyle w:val="Hyperlink"/>
            <w:rFonts w:ascii="Times New Roman" w:hAnsi="Times New Roman" w:cs="Times New Roman"/>
            <w:color w:val="auto"/>
            <w:sz w:val="24"/>
            <w:szCs w:val="24"/>
          </w:rPr>
          <w:t>India</w:t>
        </w:r>
      </w:hyperlink>
      <w:r w:rsidR="00235001" w:rsidRPr="002F0A90">
        <w:rPr>
          <w:rFonts w:ascii="Times New Roman" w:hAnsi="Times New Roman" w:cs="Times New Roman"/>
          <w:color w:val="auto"/>
          <w:sz w:val="24"/>
          <w:szCs w:val="24"/>
        </w:rPr>
        <w:t>. Unlike the earlier model requiring a minimum property investment of AED 2 million, the new system allows selected Indian nationals to obtain a lifetime UAE Golden Visa by paying a one-time fee of AED 100,000 (approx. INR 23.3 lakh).</w:t>
      </w:r>
    </w:p>
    <w:p w14:paraId="3665A74F" w14:textId="77777777" w:rsidR="00235001" w:rsidRDefault="00235001" w:rsidP="002943DC">
      <w:pPr>
        <w:pStyle w:val="BodyText"/>
        <w:spacing w:before="1" w:line="276" w:lineRule="auto"/>
        <w:ind w:left="52" w:right="52"/>
        <w:jc w:val="both"/>
        <w:rPr>
          <w:rFonts w:ascii="Times New Roman" w:hAnsi="Times New Roman" w:cs="Times New Roman"/>
        </w:rPr>
      </w:pPr>
    </w:p>
    <w:p w14:paraId="7643A699" w14:textId="274ED279" w:rsidR="00235001" w:rsidRPr="002F0A90" w:rsidRDefault="007A72F3" w:rsidP="004D09FE">
      <w:pPr>
        <w:pStyle w:val="Heading2"/>
        <w:jc w:val="both"/>
        <w:rPr>
          <w:rFonts w:ascii="Times New Roman" w:hAnsi="Times New Roman" w:cs="Times New Roman"/>
          <w:color w:val="auto"/>
          <w:sz w:val="24"/>
          <w:szCs w:val="24"/>
        </w:rPr>
      </w:pPr>
      <w:r w:rsidRPr="004455EB">
        <w:rPr>
          <w:rFonts w:ascii="Times New Roman" w:hAnsi="Times New Roman" w:cs="Times New Roman"/>
          <w:b/>
          <w:bCs/>
          <w:color w:val="auto"/>
          <w:sz w:val="24"/>
          <w:szCs w:val="24"/>
        </w:rPr>
        <w:t>D</w:t>
      </w:r>
      <w:r w:rsidR="00235001" w:rsidRPr="004455EB">
        <w:rPr>
          <w:rFonts w:ascii="Times New Roman" w:hAnsi="Times New Roman" w:cs="Times New Roman"/>
          <w:b/>
          <w:bCs/>
          <w:color w:val="auto"/>
          <w:sz w:val="24"/>
          <w:szCs w:val="24"/>
        </w:rPr>
        <w:t>.</w:t>
      </w:r>
      <w:r w:rsidRPr="002F0A90">
        <w:rPr>
          <w:rFonts w:ascii="Times New Roman" w:hAnsi="Times New Roman" w:cs="Times New Roman"/>
          <w:color w:val="auto"/>
          <w:sz w:val="24"/>
          <w:szCs w:val="24"/>
        </w:rPr>
        <w:t xml:space="preserve"> </w:t>
      </w:r>
      <w:r w:rsidR="00235001" w:rsidRPr="002F0A90">
        <w:rPr>
          <w:rFonts w:ascii="Times New Roman" w:hAnsi="Times New Roman" w:cs="Times New Roman"/>
          <w:b/>
          <w:bCs/>
          <w:color w:val="auto"/>
          <w:sz w:val="24"/>
          <w:szCs w:val="24"/>
        </w:rPr>
        <w:t>Security relations:</w:t>
      </w:r>
      <w:r w:rsidR="002F0A90" w:rsidRPr="002F0A90">
        <w:rPr>
          <w:rFonts w:ascii="Times New Roman" w:hAnsi="Times New Roman" w:cs="Times New Roman"/>
          <w:b/>
          <w:bCs/>
          <w:color w:val="auto"/>
          <w:sz w:val="24"/>
          <w:szCs w:val="24"/>
        </w:rPr>
        <w:t xml:space="preserve"> </w:t>
      </w:r>
      <w:r w:rsidR="00235001" w:rsidRPr="002F0A90">
        <w:rPr>
          <w:rFonts w:ascii="Times New Roman" w:hAnsi="Times New Roman" w:cs="Times New Roman"/>
          <w:color w:val="auto"/>
          <w:sz w:val="24"/>
          <w:szCs w:val="24"/>
        </w:rPr>
        <w:t>Defense cooperation between India and the UAE has seen growth since 2003, when the chief of staff of the UAE armed forces visited India. The subsequent exchanges resulted in the initiation of the Desert Eagle bilateral exercises involving the Indian Air Force (IAF) and the UAE Air Force (UAE-AF).</w:t>
      </w:r>
      <w:r w:rsidR="002F0A90" w:rsidRPr="002F0A90">
        <w:rPr>
          <w:rFonts w:ascii="Times New Roman" w:hAnsi="Times New Roman" w:cs="Times New Roman"/>
          <w:color w:val="auto"/>
          <w:sz w:val="24"/>
          <w:szCs w:val="24"/>
        </w:rPr>
        <w:t xml:space="preserve"> </w:t>
      </w:r>
      <w:r w:rsidR="00235001" w:rsidRPr="002F0A90">
        <w:rPr>
          <w:rFonts w:ascii="Times New Roman" w:hAnsi="Times New Roman" w:cs="Times New Roman"/>
          <w:color w:val="auto"/>
          <w:sz w:val="24"/>
          <w:szCs w:val="24"/>
        </w:rPr>
        <w:t xml:space="preserve">Since 2014, India has worked with the UAE on various counter-terrorism issues. On 4 March 2018, the </w:t>
      </w:r>
      <w:hyperlink r:id="rId11" w:tooltip="Indian Coast Guard" w:history="1">
        <w:r w:rsidR="00235001" w:rsidRPr="002F0A90">
          <w:rPr>
            <w:rStyle w:val="Hyperlink"/>
            <w:rFonts w:ascii="Times New Roman" w:hAnsi="Times New Roman" w:cs="Times New Roman"/>
            <w:color w:val="auto"/>
            <w:sz w:val="24"/>
            <w:szCs w:val="24"/>
            <w:u w:val="none"/>
          </w:rPr>
          <w:t>Indian Coast Guard</w:t>
        </w:r>
      </w:hyperlink>
      <w:r w:rsidR="00235001" w:rsidRPr="002F0A90">
        <w:rPr>
          <w:rFonts w:ascii="Times New Roman" w:hAnsi="Times New Roman" w:cs="Times New Roman"/>
          <w:color w:val="auto"/>
          <w:sz w:val="24"/>
          <w:szCs w:val="24"/>
        </w:rPr>
        <w:t xml:space="preserve"> and Emirati special forces collaborated in a successful operation, requested by Emirati Prime Minister Sheikh </w:t>
      </w:r>
      <w:hyperlink r:id="rId12" w:tooltip="Mohammed bin Rashid Al Maktoum" w:history="1">
        <w:r w:rsidR="00235001" w:rsidRPr="002F0A90">
          <w:rPr>
            <w:rStyle w:val="Hyperlink"/>
            <w:rFonts w:ascii="Times New Roman" w:hAnsi="Times New Roman" w:cs="Times New Roman"/>
            <w:color w:val="auto"/>
            <w:sz w:val="24"/>
            <w:szCs w:val="24"/>
            <w:u w:val="none"/>
          </w:rPr>
          <w:t>Mohammed bin Rashid Al Maktoum</w:t>
        </w:r>
      </w:hyperlink>
      <w:r w:rsidR="00235001" w:rsidRPr="002F0A90">
        <w:rPr>
          <w:rFonts w:ascii="Times New Roman" w:hAnsi="Times New Roman" w:cs="Times New Roman"/>
          <w:color w:val="auto"/>
          <w:sz w:val="24"/>
          <w:szCs w:val="24"/>
        </w:rPr>
        <w:t xml:space="preserve">, and approved by Indian </w:t>
      </w:r>
      <w:r w:rsidR="00C3336B">
        <w:rPr>
          <w:rFonts w:ascii="Times New Roman" w:hAnsi="Times New Roman" w:cs="Times New Roman"/>
          <w:color w:val="auto"/>
          <w:sz w:val="24"/>
          <w:szCs w:val="24"/>
        </w:rPr>
        <w:t>P</w:t>
      </w:r>
      <w:r w:rsidR="00235001" w:rsidRPr="002F0A90">
        <w:rPr>
          <w:rFonts w:ascii="Times New Roman" w:hAnsi="Times New Roman" w:cs="Times New Roman"/>
          <w:color w:val="auto"/>
          <w:sz w:val="24"/>
          <w:szCs w:val="24"/>
        </w:rPr>
        <w:t xml:space="preserve">rime </w:t>
      </w:r>
      <w:r w:rsidR="00C3336B">
        <w:rPr>
          <w:rFonts w:ascii="Times New Roman" w:hAnsi="Times New Roman" w:cs="Times New Roman"/>
          <w:color w:val="auto"/>
          <w:sz w:val="24"/>
          <w:szCs w:val="24"/>
        </w:rPr>
        <w:t>M</w:t>
      </w:r>
      <w:r w:rsidR="00235001" w:rsidRPr="002F0A90">
        <w:rPr>
          <w:rFonts w:ascii="Times New Roman" w:hAnsi="Times New Roman" w:cs="Times New Roman"/>
          <w:color w:val="auto"/>
          <w:sz w:val="24"/>
          <w:szCs w:val="24"/>
        </w:rPr>
        <w:t xml:space="preserve">inister </w:t>
      </w:r>
      <w:hyperlink r:id="rId13" w:tooltip="Narendra Modi" w:history="1">
        <w:r w:rsidR="00235001" w:rsidRPr="002F0A90">
          <w:rPr>
            <w:rStyle w:val="Hyperlink"/>
            <w:rFonts w:ascii="Times New Roman" w:hAnsi="Times New Roman" w:cs="Times New Roman"/>
            <w:color w:val="auto"/>
            <w:sz w:val="24"/>
            <w:szCs w:val="24"/>
            <w:u w:val="none"/>
          </w:rPr>
          <w:t>Narendra Modi</w:t>
        </w:r>
      </w:hyperlink>
      <w:r w:rsidR="00235001" w:rsidRPr="002F0A90">
        <w:rPr>
          <w:rFonts w:ascii="Times New Roman" w:hAnsi="Times New Roman" w:cs="Times New Roman"/>
          <w:color w:val="auto"/>
          <w:sz w:val="24"/>
          <w:szCs w:val="24"/>
        </w:rPr>
        <w:t xml:space="preserve">, to intercept a yacht carrying </w:t>
      </w:r>
      <w:hyperlink r:id="rId14" w:tooltip="Latifa bint Mohammed Al Maktoum (born 1985)" w:history="1">
        <w:r w:rsidR="00235001" w:rsidRPr="002F0A90">
          <w:rPr>
            <w:rStyle w:val="Hyperlink"/>
            <w:rFonts w:ascii="Times New Roman" w:hAnsi="Times New Roman" w:cs="Times New Roman"/>
            <w:color w:val="auto"/>
            <w:sz w:val="24"/>
            <w:szCs w:val="24"/>
            <w:u w:val="none"/>
          </w:rPr>
          <w:t>Latifabint Mohammed Al Maktoum</w:t>
        </w:r>
      </w:hyperlink>
      <w:r w:rsidR="00235001" w:rsidRPr="002F0A90">
        <w:rPr>
          <w:rFonts w:ascii="Times New Roman" w:hAnsi="Times New Roman" w:cs="Times New Roman"/>
          <w:color w:val="auto"/>
          <w:sz w:val="24"/>
          <w:szCs w:val="24"/>
        </w:rPr>
        <w:t xml:space="preserve">. In December 2020, Indian authorities in coordination with UAE had foiled a Pakistani </w:t>
      </w:r>
      <w:hyperlink r:id="rId15" w:tooltip="Inter Services Intelligence" w:history="1">
        <w:r w:rsidR="00235001" w:rsidRPr="002F0A90">
          <w:rPr>
            <w:rStyle w:val="Hyperlink"/>
            <w:rFonts w:ascii="Times New Roman" w:hAnsi="Times New Roman" w:cs="Times New Roman"/>
            <w:color w:val="auto"/>
            <w:sz w:val="24"/>
            <w:szCs w:val="24"/>
            <w:u w:val="none"/>
          </w:rPr>
          <w:t>ISI</w:t>
        </w:r>
      </w:hyperlink>
      <w:r w:rsidR="00235001" w:rsidRPr="002F0A90">
        <w:rPr>
          <w:rFonts w:ascii="Times New Roman" w:hAnsi="Times New Roman" w:cs="Times New Roman"/>
          <w:color w:val="auto"/>
          <w:sz w:val="24"/>
          <w:szCs w:val="24"/>
        </w:rPr>
        <w:t xml:space="preserve"> backed-terrorist attack in Delhi. The arrested terrorists consisted of 2 </w:t>
      </w:r>
      <w:hyperlink r:id="rId16" w:tooltip="Khalistan movement" w:history="1">
        <w:r w:rsidR="00235001" w:rsidRPr="002F0A90">
          <w:rPr>
            <w:rStyle w:val="Hyperlink"/>
            <w:rFonts w:ascii="Times New Roman" w:hAnsi="Times New Roman" w:cs="Times New Roman"/>
            <w:color w:val="auto"/>
            <w:sz w:val="24"/>
            <w:szCs w:val="24"/>
            <w:u w:val="none"/>
          </w:rPr>
          <w:t>Khalistani</w:t>
        </w:r>
      </w:hyperlink>
      <w:r w:rsidR="00235001" w:rsidRPr="002F0A90">
        <w:rPr>
          <w:rFonts w:ascii="Times New Roman" w:hAnsi="Times New Roman" w:cs="Times New Roman"/>
          <w:color w:val="auto"/>
          <w:sz w:val="24"/>
          <w:szCs w:val="24"/>
        </w:rPr>
        <w:t xml:space="preserve"> and 3 </w:t>
      </w:r>
      <w:hyperlink r:id="rId17" w:tooltip="Hizbul Mujahideen" w:history="1">
        <w:r w:rsidR="00235001" w:rsidRPr="002F0A90">
          <w:rPr>
            <w:rStyle w:val="Hyperlink"/>
            <w:rFonts w:ascii="Times New Roman" w:hAnsi="Times New Roman" w:cs="Times New Roman"/>
            <w:color w:val="auto"/>
            <w:sz w:val="24"/>
            <w:szCs w:val="24"/>
            <w:u w:val="none"/>
          </w:rPr>
          <w:t>Hizbul</w:t>
        </w:r>
        <w:r w:rsidR="002F0A90" w:rsidRPr="002F0A90">
          <w:rPr>
            <w:rStyle w:val="Hyperlink"/>
            <w:rFonts w:ascii="Times New Roman" w:hAnsi="Times New Roman" w:cs="Times New Roman"/>
            <w:color w:val="auto"/>
            <w:sz w:val="24"/>
            <w:szCs w:val="24"/>
            <w:u w:val="none"/>
          </w:rPr>
          <w:t xml:space="preserve"> </w:t>
        </w:r>
        <w:r w:rsidR="00235001" w:rsidRPr="002F0A90">
          <w:rPr>
            <w:rStyle w:val="Hyperlink"/>
            <w:rFonts w:ascii="Times New Roman" w:hAnsi="Times New Roman" w:cs="Times New Roman"/>
            <w:color w:val="auto"/>
            <w:sz w:val="24"/>
            <w:szCs w:val="24"/>
            <w:u w:val="none"/>
          </w:rPr>
          <w:t>Mujahideen</w:t>
        </w:r>
      </w:hyperlink>
      <w:r w:rsidR="00235001" w:rsidRPr="002F0A90">
        <w:rPr>
          <w:rFonts w:ascii="Times New Roman" w:hAnsi="Times New Roman" w:cs="Times New Roman"/>
          <w:color w:val="auto"/>
          <w:sz w:val="24"/>
          <w:szCs w:val="24"/>
        </w:rPr>
        <w:t xml:space="preserve"> members. The head of the </w:t>
      </w:r>
      <w:hyperlink r:id="rId18" w:tooltip="Terror cell" w:history="1">
        <w:r w:rsidR="00235001" w:rsidRPr="002F0A90">
          <w:rPr>
            <w:rStyle w:val="Hyperlink"/>
            <w:rFonts w:ascii="Times New Roman" w:hAnsi="Times New Roman" w:cs="Times New Roman"/>
            <w:color w:val="auto"/>
            <w:sz w:val="24"/>
            <w:szCs w:val="24"/>
            <w:u w:val="none"/>
          </w:rPr>
          <w:t>cell</w:t>
        </w:r>
      </w:hyperlink>
      <w:r w:rsidR="00235001" w:rsidRPr="002F0A90">
        <w:rPr>
          <w:rFonts w:ascii="Times New Roman" w:hAnsi="Times New Roman" w:cs="Times New Roman"/>
          <w:color w:val="auto"/>
          <w:sz w:val="24"/>
          <w:szCs w:val="24"/>
        </w:rPr>
        <w:t xml:space="preserve"> was arrested in the UAE and deported to India. Both countries conducted their first military exercise named Desert Cyclone together in Rajasthan on January 4, 2024.</w:t>
      </w:r>
    </w:p>
    <w:p w14:paraId="1C5B327F" w14:textId="77777777" w:rsidR="004D09FE" w:rsidRPr="004D09FE" w:rsidRDefault="004D09FE" w:rsidP="004D09FE">
      <w:pPr>
        <w:rPr>
          <w:lang w:val="en-IN" w:bidi="hi-IN"/>
        </w:rPr>
      </w:pPr>
    </w:p>
    <w:p w14:paraId="71ACEFCD" w14:textId="1E459F28" w:rsidR="00215B93" w:rsidRPr="00CA515A" w:rsidRDefault="007A72F3" w:rsidP="004D09FE">
      <w:pPr>
        <w:pStyle w:val="Heading2"/>
        <w:jc w:val="both"/>
        <w:rPr>
          <w:rFonts w:ascii="Times New Roman" w:eastAsia="Times New Roman" w:hAnsi="Times New Roman" w:cs="Times New Roman"/>
          <w:sz w:val="24"/>
          <w:szCs w:val="24"/>
          <w:lang w:val="en-IN" w:bidi="hi-IN"/>
        </w:rPr>
      </w:pPr>
      <w:r w:rsidRPr="004455EB">
        <w:rPr>
          <w:rFonts w:ascii="Times New Roman" w:hAnsi="Times New Roman" w:cs="Times New Roman"/>
          <w:b/>
          <w:bCs/>
          <w:color w:val="auto"/>
          <w:sz w:val="24"/>
          <w:szCs w:val="24"/>
        </w:rPr>
        <w:t>E</w:t>
      </w:r>
      <w:r w:rsidR="00215B93" w:rsidRPr="00CA515A">
        <w:rPr>
          <w:rFonts w:ascii="Times New Roman" w:hAnsi="Times New Roman" w:cs="Times New Roman"/>
          <w:color w:val="auto"/>
          <w:sz w:val="24"/>
          <w:szCs w:val="24"/>
        </w:rPr>
        <w:t xml:space="preserve">. </w:t>
      </w:r>
      <w:r w:rsidR="00215B93" w:rsidRPr="00CA515A">
        <w:rPr>
          <w:rFonts w:ascii="Times New Roman" w:hAnsi="Times New Roman" w:cs="Times New Roman"/>
          <w:b/>
          <w:bCs/>
          <w:color w:val="auto"/>
          <w:sz w:val="24"/>
          <w:szCs w:val="24"/>
        </w:rPr>
        <w:t>Technological and scientific collaboration:</w:t>
      </w:r>
      <w:r w:rsidR="00CA515A" w:rsidRPr="00CA515A">
        <w:rPr>
          <w:rFonts w:ascii="Times New Roman" w:hAnsi="Times New Roman" w:cs="Times New Roman"/>
          <w:b/>
          <w:bCs/>
          <w:color w:val="auto"/>
          <w:sz w:val="24"/>
          <w:szCs w:val="24"/>
        </w:rPr>
        <w:t xml:space="preserve"> </w:t>
      </w:r>
      <w:r w:rsidR="00215B93" w:rsidRPr="00CA515A">
        <w:rPr>
          <w:rFonts w:ascii="Times New Roman" w:hAnsi="Times New Roman" w:cs="Times New Roman"/>
          <w:color w:val="auto"/>
          <w:sz w:val="24"/>
          <w:szCs w:val="24"/>
        </w:rPr>
        <w:t xml:space="preserve">India and UAE are closely involved in polar cooperation. In January 2026, Emirati researchers from </w:t>
      </w:r>
      <w:hyperlink r:id="rId19" w:tooltip="Khalifa University" w:history="1">
        <w:r w:rsidR="00215B93" w:rsidRPr="00CA515A">
          <w:rPr>
            <w:rStyle w:val="Hyperlink"/>
            <w:rFonts w:ascii="Times New Roman" w:hAnsi="Times New Roman" w:cs="Times New Roman"/>
            <w:color w:val="auto"/>
            <w:sz w:val="24"/>
            <w:szCs w:val="24"/>
            <w:u w:val="none"/>
          </w:rPr>
          <w:t>Khalifa University</w:t>
        </w:r>
      </w:hyperlink>
      <w:r w:rsidR="00215B93" w:rsidRPr="00CA515A">
        <w:rPr>
          <w:rFonts w:ascii="Times New Roman" w:hAnsi="Times New Roman" w:cs="Times New Roman"/>
          <w:color w:val="auto"/>
          <w:sz w:val="24"/>
          <w:szCs w:val="24"/>
        </w:rPr>
        <w:t xml:space="preserve"> joined India's 45th Antarctic Expedition at the </w:t>
      </w:r>
      <w:hyperlink r:id="rId20" w:tooltip="Maitri (research station)" w:history="1">
        <w:r w:rsidR="00215B93" w:rsidRPr="00CA515A">
          <w:rPr>
            <w:rStyle w:val="Hyperlink"/>
            <w:rFonts w:ascii="Times New Roman" w:hAnsi="Times New Roman" w:cs="Times New Roman"/>
            <w:color w:val="auto"/>
            <w:sz w:val="24"/>
            <w:szCs w:val="24"/>
            <w:u w:val="none"/>
          </w:rPr>
          <w:t>Maitri Research Station</w:t>
        </w:r>
      </w:hyperlink>
      <w:r w:rsidR="00215B93" w:rsidRPr="00CA515A">
        <w:rPr>
          <w:rFonts w:ascii="Times New Roman" w:hAnsi="Times New Roman" w:cs="Times New Roman"/>
          <w:color w:val="auto"/>
          <w:sz w:val="24"/>
          <w:szCs w:val="24"/>
        </w:rPr>
        <w:t xml:space="preserve"> to explore Antarctica's landscapes for the advancement of polar &amp; planetary science.</w:t>
      </w:r>
      <w:r w:rsidR="00725D39">
        <w:rPr>
          <w:rFonts w:ascii="Times New Roman" w:hAnsi="Times New Roman" w:cs="Times New Roman"/>
          <w:color w:val="auto"/>
          <w:sz w:val="24"/>
          <w:szCs w:val="24"/>
        </w:rPr>
        <w:t xml:space="preserve"> </w:t>
      </w:r>
      <w:r w:rsidR="00215B93" w:rsidRPr="00CA515A">
        <w:rPr>
          <w:rFonts w:ascii="Times New Roman" w:hAnsi="Times New Roman" w:cs="Times New Roman"/>
          <w:color w:val="auto"/>
          <w:sz w:val="24"/>
          <w:szCs w:val="24"/>
        </w:rPr>
        <w:t xml:space="preserve">In May 2026, a Term Sheet was exchanged between G42 Group, </w:t>
      </w:r>
      <w:hyperlink r:id="rId21" w:tooltip="Mohamed bin Zayed University of Artificial Intelligence" w:history="1">
        <w:r w:rsidR="00215B93" w:rsidRPr="00CA515A">
          <w:rPr>
            <w:rStyle w:val="Hyperlink"/>
            <w:rFonts w:ascii="Times New Roman" w:hAnsi="Times New Roman" w:cs="Times New Roman"/>
            <w:color w:val="auto"/>
            <w:sz w:val="24"/>
            <w:szCs w:val="24"/>
            <w:u w:val="none"/>
          </w:rPr>
          <w:t>Mohamed bin Zayed University of Artificial Intelligence</w:t>
        </w:r>
      </w:hyperlink>
      <w:r w:rsidR="00215B93" w:rsidRPr="00CA515A">
        <w:rPr>
          <w:rFonts w:ascii="Times New Roman" w:hAnsi="Times New Roman" w:cs="Times New Roman"/>
          <w:color w:val="auto"/>
          <w:sz w:val="24"/>
          <w:szCs w:val="24"/>
        </w:rPr>
        <w:t xml:space="preserve"> and </w:t>
      </w:r>
      <w:hyperlink r:id="rId22" w:tooltip="Centre for Development of Advanced Computing" w:history="1">
        <w:r w:rsidR="00215B93" w:rsidRPr="00CA515A">
          <w:rPr>
            <w:rStyle w:val="Hyperlink"/>
            <w:rFonts w:ascii="Times New Roman" w:hAnsi="Times New Roman" w:cs="Times New Roman"/>
            <w:color w:val="auto"/>
            <w:sz w:val="24"/>
            <w:szCs w:val="24"/>
            <w:u w:val="none"/>
          </w:rPr>
          <w:t>C-DAC</w:t>
        </w:r>
      </w:hyperlink>
      <w:r w:rsidR="00215B93" w:rsidRPr="00CA515A">
        <w:rPr>
          <w:rFonts w:ascii="Times New Roman" w:hAnsi="Times New Roman" w:cs="Times New Roman"/>
          <w:color w:val="auto"/>
          <w:sz w:val="24"/>
          <w:szCs w:val="24"/>
        </w:rPr>
        <w:t xml:space="preserve"> to establish an 8-exaflop supercomputing cluster in India.</w:t>
      </w:r>
    </w:p>
    <w:p w14:paraId="5B23A1B3" w14:textId="4AE9FD14" w:rsidR="00CA515A" w:rsidRPr="00CA515A" w:rsidRDefault="007A72F3" w:rsidP="00810A25">
      <w:pPr>
        <w:spacing w:before="262"/>
        <w:jc w:val="both"/>
        <w:outlineLvl w:val="0"/>
        <w:rPr>
          <w:rFonts w:ascii="Times New Roman" w:eastAsia="Times New Roman" w:hAnsi="Times New Roman" w:cs="Times New Roman"/>
          <w:sz w:val="24"/>
          <w:szCs w:val="24"/>
          <w:lang w:val="en-IN" w:bidi="hi-IN"/>
        </w:rPr>
      </w:pPr>
      <w:r>
        <w:rPr>
          <w:rFonts w:ascii="Times New Roman" w:eastAsia="Times New Roman" w:hAnsi="Times New Roman" w:cs="Times New Roman"/>
          <w:b/>
          <w:bCs/>
          <w:sz w:val="24"/>
          <w:szCs w:val="24"/>
          <w:lang w:val="en-IN" w:bidi="hi-IN"/>
        </w:rPr>
        <w:t>F</w:t>
      </w:r>
      <w:r w:rsidR="00215B93">
        <w:rPr>
          <w:rFonts w:ascii="Times New Roman" w:eastAsia="Times New Roman" w:hAnsi="Times New Roman" w:cs="Times New Roman"/>
          <w:b/>
          <w:bCs/>
          <w:sz w:val="24"/>
          <w:szCs w:val="24"/>
          <w:lang w:val="en-IN" w:bidi="hi-IN"/>
        </w:rPr>
        <w:t xml:space="preserve">. </w:t>
      </w:r>
      <w:r w:rsidR="00215B93" w:rsidRPr="00215B93">
        <w:rPr>
          <w:rFonts w:ascii="Times New Roman" w:eastAsia="Times New Roman" w:hAnsi="Times New Roman" w:cs="Times New Roman"/>
          <w:b/>
          <w:bCs/>
          <w:sz w:val="24"/>
          <w:szCs w:val="24"/>
          <w:lang w:val="en-IN" w:bidi="hi-IN"/>
        </w:rPr>
        <w:t>Economic &amp; Commercial</w:t>
      </w:r>
      <w:r w:rsidR="00215B93">
        <w:rPr>
          <w:rFonts w:ascii="Times New Roman" w:eastAsia="Times New Roman" w:hAnsi="Times New Roman" w:cs="Times New Roman"/>
          <w:b/>
          <w:bCs/>
          <w:sz w:val="24"/>
          <w:szCs w:val="24"/>
          <w:lang w:val="en-IN" w:bidi="hi-IN"/>
        </w:rPr>
        <w:t xml:space="preserve"> Relations (Trade and Foreign Investment)</w:t>
      </w:r>
      <w:r w:rsidR="004D09FE" w:rsidRPr="007A72F3">
        <w:rPr>
          <w:rFonts w:ascii="Times New Roman" w:eastAsia="Nirmala UI" w:hAnsi="Times New Roman" w:cs="Times New Roman"/>
          <w:b/>
          <w:bCs/>
          <w:spacing w:val="-1"/>
          <w:w w:val="120"/>
          <w:sz w:val="24"/>
          <w:szCs w:val="24"/>
        </w:rPr>
        <w:t>–</w:t>
      </w:r>
      <w:r w:rsidR="004D09FE" w:rsidRPr="004D09FE">
        <w:rPr>
          <w:rFonts w:ascii="Times New Roman" w:eastAsia="Nirmala UI" w:hAnsi="Times New Roman" w:cs="Times New Roman"/>
          <w:b/>
          <w:bCs/>
          <w:spacing w:val="-1"/>
          <w:w w:val="120"/>
          <w:sz w:val="24"/>
          <w:szCs w:val="24"/>
        </w:rPr>
        <w:t>Recent facts &amp; figures</w:t>
      </w:r>
      <w:r w:rsidR="00215B93">
        <w:rPr>
          <w:rFonts w:ascii="Times New Roman" w:eastAsia="Times New Roman" w:hAnsi="Times New Roman" w:cs="Times New Roman"/>
          <w:b/>
          <w:bCs/>
          <w:sz w:val="24"/>
          <w:szCs w:val="24"/>
          <w:lang w:val="en-IN" w:bidi="hi-IN"/>
        </w:rPr>
        <w:t>:</w:t>
      </w:r>
      <w:r w:rsidR="00810A25">
        <w:rPr>
          <w:rFonts w:ascii="Times New Roman" w:eastAsia="Times New Roman" w:hAnsi="Times New Roman" w:cs="Times New Roman"/>
          <w:b/>
          <w:bCs/>
          <w:sz w:val="24"/>
          <w:szCs w:val="24"/>
          <w:lang w:val="en-IN" w:bidi="hi-IN"/>
        </w:rPr>
        <w:t xml:space="preserve"> </w:t>
      </w:r>
      <w:r w:rsidR="00CA515A" w:rsidRPr="00CA515A">
        <w:rPr>
          <w:rFonts w:ascii="Times New Roman" w:eastAsia="Times New Roman" w:hAnsi="Times New Roman" w:cs="Times New Roman"/>
          <w:sz w:val="24"/>
          <w:szCs w:val="24"/>
          <w:lang w:val="en-IN" w:bidi="hi-IN"/>
        </w:rPr>
        <w:t>India and UAE have shared trade links through the centuries. The trade, which was dominated by traditional items such as dates, pearls and fishes, underwent a sharp change after</w:t>
      </w:r>
      <w:r w:rsidR="00CA515A">
        <w:rPr>
          <w:rFonts w:ascii="Times New Roman" w:eastAsia="Times New Roman" w:hAnsi="Times New Roman" w:cs="Times New Roman"/>
          <w:sz w:val="24"/>
          <w:szCs w:val="24"/>
          <w:lang w:val="en-IN" w:bidi="hi-IN"/>
        </w:rPr>
        <w:t xml:space="preserve"> </w:t>
      </w:r>
      <w:r w:rsidR="00CA515A" w:rsidRPr="00CA515A">
        <w:rPr>
          <w:rFonts w:ascii="Times New Roman" w:eastAsia="Times New Roman" w:hAnsi="Times New Roman" w:cs="Times New Roman"/>
          <w:sz w:val="24"/>
          <w:szCs w:val="24"/>
          <w:lang w:val="en-IN" w:bidi="hi-IN"/>
        </w:rPr>
        <w:t>the discovery of oil in the UAE (oil exports began from Abu Dhabi in 1962). With the emergence</w:t>
      </w:r>
      <w:r w:rsidR="00CA515A">
        <w:rPr>
          <w:rFonts w:ascii="Times New Roman" w:eastAsia="Times New Roman" w:hAnsi="Times New Roman" w:cs="Times New Roman"/>
          <w:sz w:val="24"/>
          <w:szCs w:val="24"/>
          <w:lang w:val="en-IN" w:bidi="hi-IN"/>
        </w:rPr>
        <w:t xml:space="preserve"> </w:t>
      </w:r>
      <w:r w:rsidR="00CA515A" w:rsidRPr="00CA515A">
        <w:rPr>
          <w:rFonts w:ascii="Times New Roman" w:eastAsia="Times New Roman" w:hAnsi="Times New Roman" w:cs="Times New Roman"/>
          <w:sz w:val="24"/>
          <w:szCs w:val="24"/>
          <w:lang w:val="en-IN" w:bidi="hi-IN"/>
        </w:rPr>
        <w:t>of the UAE as a unified entity in 1971, exports from India started growing gradually over the</w:t>
      </w:r>
      <w:r w:rsidR="00CA515A">
        <w:rPr>
          <w:rFonts w:ascii="Times New Roman" w:eastAsia="Times New Roman" w:hAnsi="Times New Roman" w:cs="Times New Roman"/>
          <w:sz w:val="24"/>
          <w:szCs w:val="24"/>
          <w:lang w:val="en-IN" w:bidi="hi-IN"/>
        </w:rPr>
        <w:t xml:space="preserve"> </w:t>
      </w:r>
      <w:r w:rsidR="00CA515A" w:rsidRPr="00CA515A">
        <w:rPr>
          <w:rFonts w:ascii="Times New Roman" w:eastAsia="Times New Roman" w:hAnsi="Times New Roman" w:cs="Times New Roman"/>
          <w:sz w:val="24"/>
          <w:szCs w:val="24"/>
          <w:lang w:val="en-IN" w:bidi="hi-IN"/>
        </w:rPr>
        <w:t xml:space="preserve">years. The real impetus, however, started after Dubai positioned itself as a regional trading hubby early 1990s and about the same time, the economic liberalisation process started in India. </w:t>
      </w:r>
      <w:r w:rsidR="00CA515A" w:rsidRPr="00CA515A">
        <w:rPr>
          <w:rFonts w:ascii="Times New Roman" w:hAnsi="Times New Roman" w:cs="Times New Roman"/>
          <w:sz w:val="24"/>
          <w:szCs w:val="24"/>
        </w:rPr>
        <w:t>The UAE’s investment in India is estimated to be around US$ 20-21 billion of which US$ 15.5 billion is in the form of FDI while the remaining is portfolio investment between April 2000-March 2023. In 2022-2023, UAE was the 4th biggest FDI investor for India. UAE has committed to invest US$ 75 billion in India’s infrastructure sector over a period of time. Abu Dhabi Investment Authority (ADIA), the principal Sovereign Wealth Fund of the UAE and one</w:t>
      </w:r>
      <w:r w:rsidR="004D2418">
        <w:rPr>
          <w:rFonts w:ascii="Times New Roman" w:hAnsi="Times New Roman" w:cs="Times New Roman"/>
          <w:sz w:val="24"/>
          <w:szCs w:val="24"/>
        </w:rPr>
        <w:t xml:space="preserve"> </w:t>
      </w:r>
      <w:r w:rsidR="00CA515A" w:rsidRPr="00CA515A">
        <w:rPr>
          <w:rFonts w:ascii="Times New Roman" w:hAnsi="Times New Roman" w:cs="Times New Roman"/>
          <w:sz w:val="24"/>
          <w:szCs w:val="24"/>
        </w:rPr>
        <w:t>of the world’s largest, is an anchor investor in NIIF Master Fund through an investment of US$ 1billion in National Infrastructure Investment Fund (NIIF). ADIA has also invested US$ 1.8billion in HDFC Affordable Housing, USD 500 million in two renewable energy companies –</w:t>
      </w:r>
      <w:r w:rsidR="004D2418" w:rsidRPr="00CA515A">
        <w:rPr>
          <w:rFonts w:ascii="Times New Roman" w:hAnsi="Times New Roman" w:cs="Times New Roman"/>
          <w:sz w:val="24"/>
          <w:szCs w:val="24"/>
        </w:rPr>
        <w:t>Green Koi</w:t>
      </w:r>
      <w:r w:rsidR="00CA515A" w:rsidRPr="00CA515A">
        <w:rPr>
          <w:rFonts w:ascii="Times New Roman" w:hAnsi="Times New Roman" w:cs="Times New Roman"/>
          <w:sz w:val="24"/>
          <w:szCs w:val="24"/>
        </w:rPr>
        <w:t xml:space="preserve"> and </w:t>
      </w:r>
      <w:r w:rsidR="004D2418" w:rsidRPr="00CA515A">
        <w:rPr>
          <w:rFonts w:ascii="Times New Roman" w:hAnsi="Times New Roman" w:cs="Times New Roman"/>
          <w:sz w:val="24"/>
          <w:szCs w:val="24"/>
        </w:rPr>
        <w:t>Renew</w:t>
      </w:r>
      <w:r w:rsidR="00CA515A" w:rsidRPr="00CA515A">
        <w:rPr>
          <w:rFonts w:ascii="Times New Roman" w:hAnsi="Times New Roman" w:cs="Times New Roman"/>
          <w:sz w:val="24"/>
          <w:szCs w:val="24"/>
        </w:rPr>
        <w:t xml:space="preserve"> and US$ 300 million in Cube Highways. ADIA has also announced the</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opening of its office in GIFT City in Gujarat. Since 2020, GoI has announced several measures</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to facilitate and further ease investments by ADIA and other sovereign funds from the UAE. India’s exports to the UAE are well diversified with a large basket. India’s major export items to the UAE are: Petroleum Products, Precious Metals, Stones, Gems &amp; Jewelry, Minerals, Food Items (Cereals, Sugar, Fruits &amp; Vegetables, Tea, Meat, and Seafood), Textiles (Garments, Apparel, Synthetic fiber, Cotton, Yarn) and Engineering &amp; Machinery Products and</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 xml:space="preserve">Chemicals. India’s </w:t>
      </w:r>
      <w:r w:rsidR="00CA515A" w:rsidRPr="00CA515A">
        <w:rPr>
          <w:rFonts w:ascii="Times New Roman" w:hAnsi="Times New Roman" w:cs="Times New Roman"/>
          <w:sz w:val="24"/>
          <w:szCs w:val="24"/>
        </w:rPr>
        <w:lastRenderedPageBreak/>
        <w:t>major import items from the UAE are: Petroleum and Petroleum Products,</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Precious Metals, Stones, Gems &amp; Jewelry, Minerals, Chemicals, Wood &amp; Wood</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Products.</w:t>
      </w:r>
      <w:r w:rsidR="00CA515A">
        <w:rPr>
          <w:rFonts w:ascii="Times New Roman" w:hAnsi="Times New Roman" w:cs="Times New Roman"/>
          <w:sz w:val="24"/>
          <w:szCs w:val="24"/>
        </w:rPr>
        <w:t xml:space="preserve"> </w:t>
      </w:r>
      <w:r w:rsidR="00CA515A" w:rsidRPr="00CA515A">
        <w:rPr>
          <w:rFonts w:ascii="Times New Roman" w:hAnsi="Times New Roman" w:cs="Times New Roman"/>
          <w:sz w:val="24"/>
          <w:szCs w:val="24"/>
        </w:rPr>
        <w:t>UAE is the 4th largest source for crude oil and 2nd largest source for LNG and LPG for India. (</w:t>
      </w:r>
      <w:r w:rsidR="00CA515A" w:rsidRPr="00CA515A">
        <w:rPr>
          <w:rFonts w:ascii="Times New Roman" w:hAnsi="Times New Roman" w:cs="Times New Roman"/>
          <w:i/>
          <w:iCs/>
          <w:sz w:val="24"/>
          <w:szCs w:val="24"/>
        </w:rPr>
        <w:t>Source: MEA</w:t>
      </w:r>
      <w:r w:rsidR="00CA515A" w:rsidRPr="00CA515A">
        <w:rPr>
          <w:rFonts w:ascii="Times New Roman" w:hAnsi="Times New Roman" w:cs="Times New Roman"/>
          <w:sz w:val="24"/>
          <w:szCs w:val="24"/>
        </w:rPr>
        <w:t>)</w:t>
      </w:r>
    </w:p>
    <w:p w14:paraId="2390DD86" w14:textId="77777777" w:rsidR="002943DC" w:rsidRPr="002943DC" w:rsidRDefault="002943DC" w:rsidP="00C84923">
      <w:pPr>
        <w:pStyle w:val="BodyText"/>
        <w:spacing w:before="1" w:line="276" w:lineRule="auto"/>
        <w:ind w:right="53"/>
        <w:jc w:val="both"/>
        <w:rPr>
          <w:rFonts w:ascii="Times New Roman" w:hAnsi="Times New Roman" w:cs="Times New Roman"/>
        </w:rPr>
      </w:pPr>
    </w:p>
    <w:p w14:paraId="078F179A" w14:textId="484F81A8" w:rsidR="002943DC" w:rsidRPr="002943DC" w:rsidRDefault="007A72F3" w:rsidP="002943DC">
      <w:pPr>
        <w:pStyle w:val="BodyText"/>
        <w:spacing w:before="71" w:line="276" w:lineRule="auto"/>
        <w:ind w:left="52" w:right="48"/>
        <w:jc w:val="both"/>
        <w:rPr>
          <w:rFonts w:ascii="Times New Roman" w:hAnsi="Times New Roman" w:cs="Times New Roman"/>
          <w:i/>
        </w:rPr>
      </w:pPr>
      <w:r>
        <w:rPr>
          <w:rFonts w:ascii="Times New Roman" w:hAnsi="Times New Roman" w:cs="Times New Roman"/>
        </w:rPr>
        <w:t>G</w:t>
      </w:r>
      <w:r w:rsidR="002943DC" w:rsidRPr="002943DC">
        <w:rPr>
          <w:rFonts w:ascii="Times New Roman" w:hAnsi="Times New Roman" w:cs="Times New Roman"/>
        </w:rPr>
        <w:t>. India’s economic engagement with</w:t>
      </w:r>
      <w:r w:rsidR="0012283C">
        <w:rPr>
          <w:rFonts w:ascii="Times New Roman" w:hAnsi="Times New Roman" w:cs="Times New Roman"/>
        </w:rPr>
        <w:t xml:space="preserve"> UAE</w:t>
      </w:r>
      <w:r w:rsidR="002943DC" w:rsidRPr="002943DC">
        <w:rPr>
          <w:rFonts w:ascii="Times New Roman" w:hAnsi="Times New Roman" w:cs="Times New Roman"/>
        </w:rPr>
        <w:t xml:space="preserve"> has acquired new momentum in recent years with considerable increase in India-</w:t>
      </w:r>
      <w:r w:rsidR="0012283C">
        <w:rPr>
          <w:rFonts w:ascii="Times New Roman" w:hAnsi="Times New Roman" w:cs="Times New Roman"/>
        </w:rPr>
        <w:t>UAE</w:t>
      </w:r>
      <w:r w:rsidR="002943DC" w:rsidRPr="002943DC">
        <w:rPr>
          <w:rFonts w:ascii="Times New Roman" w:hAnsi="Times New Roman" w:cs="Times New Roman"/>
        </w:rPr>
        <w:t xml:space="preserve"> trade, which crossed USD </w:t>
      </w:r>
      <w:r w:rsidR="001574B4">
        <w:rPr>
          <w:rFonts w:ascii="Times New Roman" w:hAnsi="Times New Roman" w:cs="Times New Roman"/>
        </w:rPr>
        <w:t>82.42</w:t>
      </w:r>
      <w:r w:rsidR="002943DC" w:rsidRPr="002943DC">
        <w:rPr>
          <w:rFonts w:ascii="Times New Roman" w:hAnsi="Times New Roman" w:cs="Times New Roman"/>
        </w:rPr>
        <w:t xml:space="preserve"> billion in 202</w:t>
      </w:r>
      <w:r w:rsidR="001574B4">
        <w:rPr>
          <w:rFonts w:ascii="Times New Roman" w:hAnsi="Times New Roman" w:cs="Times New Roman"/>
        </w:rPr>
        <w:t>3</w:t>
      </w:r>
      <w:r w:rsidR="002943DC" w:rsidRPr="002943DC">
        <w:rPr>
          <w:rFonts w:ascii="Times New Roman" w:hAnsi="Times New Roman" w:cs="Times New Roman"/>
        </w:rPr>
        <w:t>-2</w:t>
      </w:r>
      <w:r w:rsidR="001574B4">
        <w:rPr>
          <w:rFonts w:ascii="Times New Roman" w:hAnsi="Times New Roman" w:cs="Times New Roman"/>
        </w:rPr>
        <w:t>4</w:t>
      </w:r>
      <w:r w:rsidR="002943DC" w:rsidRPr="002943DC">
        <w:rPr>
          <w:rFonts w:ascii="Times New Roman" w:hAnsi="Times New Roman" w:cs="Times New Roman"/>
        </w:rPr>
        <w:t xml:space="preserve">. India’s bilateral trade with </w:t>
      </w:r>
      <w:r w:rsidR="0012283C">
        <w:rPr>
          <w:rFonts w:ascii="Times New Roman" w:hAnsi="Times New Roman" w:cs="Times New Roman"/>
        </w:rPr>
        <w:t>UAE</w:t>
      </w:r>
      <w:r w:rsidR="002943DC" w:rsidRPr="002943DC">
        <w:rPr>
          <w:rFonts w:ascii="Times New Roman" w:hAnsi="Times New Roman" w:cs="Times New Roman"/>
        </w:rPr>
        <w:t xml:space="preserve"> in FY 202</w:t>
      </w:r>
      <w:r w:rsidR="001574B4">
        <w:rPr>
          <w:rFonts w:ascii="Times New Roman" w:hAnsi="Times New Roman" w:cs="Times New Roman"/>
        </w:rPr>
        <w:t>5</w:t>
      </w:r>
      <w:r w:rsidR="002943DC" w:rsidRPr="002943DC">
        <w:rPr>
          <w:rFonts w:ascii="Times New Roman" w:hAnsi="Times New Roman" w:cs="Times New Roman"/>
        </w:rPr>
        <w:t>-2</w:t>
      </w:r>
      <w:r w:rsidR="001574B4">
        <w:rPr>
          <w:rFonts w:ascii="Times New Roman" w:hAnsi="Times New Roman" w:cs="Times New Roman"/>
        </w:rPr>
        <w:t>6</w:t>
      </w:r>
      <w:r w:rsidR="002943DC" w:rsidRPr="002943DC">
        <w:rPr>
          <w:rFonts w:ascii="Times New Roman" w:hAnsi="Times New Roman" w:cs="Times New Roman"/>
        </w:rPr>
        <w:t xml:space="preserve"> stood at USD </w:t>
      </w:r>
      <w:r w:rsidR="001574B4">
        <w:rPr>
          <w:rFonts w:ascii="Times New Roman" w:hAnsi="Times New Roman" w:cs="Times New Roman"/>
        </w:rPr>
        <w:t>10</w:t>
      </w:r>
      <w:r w:rsidR="0012283C">
        <w:rPr>
          <w:rFonts w:ascii="Times New Roman" w:hAnsi="Times New Roman" w:cs="Times New Roman"/>
        </w:rPr>
        <w:t>0</w:t>
      </w:r>
      <w:r w:rsidR="001574B4">
        <w:rPr>
          <w:rFonts w:ascii="Times New Roman" w:hAnsi="Times New Roman" w:cs="Times New Roman"/>
        </w:rPr>
        <w:t>.</w:t>
      </w:r>
      <w:r w:rsidR="0012283C">
        <w:rPr>
          <w:rFonts w:ascii="Times New Roman" w:hAnsi="Times New Roman" w:cs="Times New Roman"/>
        </w:rPr>
        <w:t>52</w:t>
      </w:r>
      <w:r w:rsidR="002943DC" w:rsidRPr="002943DC">
        <w:rPr>
          <w:rFonts w:ascii="Times New Roman" w:hAnsi="Times New Roman" w:cs="Times New Roman"/>
        </w:rPr>
        <w:t xml:space="preserve"> billion, with India’s exports</w:t>
      </w:r>
      <w:r w:rsidR="001574B4">
        <w:rPr>
          <w:rFonts w:ascii="Times New Roman" w:hAnsi="Times New Roman" w:cs="Times New Roman"/>
        </w:rPr>
        <w:t xml:space="preserve"> </w:t>
      </w:r>
      <w:r w:rsidR="002943DC" w:rsidRPr="002943DC">
        <w:rPr>
          <w:rFonts w:ascii="Times New Roman" w:hAnsi="Times New Roman" w:cs="Times New Roman"/>
        </w:rPr>
        <w:t>to</w:t>
      </w:r>
      <w:r w:rsidR="001574B4">
        <w:rPr>
          <w:rFonts w:ascii="Times New Roman" w:hAnsi="Times New Roman" w:cs="Times New Roman"/>
        </w:rPr>
        <w:t xml:space="preserve"> UAE </w:t>
      </w:r>
      <w:r w:rsidR="005C0757">
        <w:rPr>
          <w:rFonts w:ascii="Times New Roman" w:hAnsi="Times New Roman" w:cs="Times New Roman"/>
        </w:rPr>
        <w:t xml:space="preserve">at </w:t>
      </w:r>
      <w:r w:rsidR="002943DC" w:rsidRPr="002943DC">
        <w:rPr>
          <w:rFonts w:ascii="Times New Roman" w:hAnsi="Times New Roman" w:cs="Times New Roman"/>
        </w:rPr>
        <w:t>USD</w:t>
      </w:r>
      <w:r w:rsidR="001574B4">
        <w:rPr>
          <w:rFonts w:ascii="Times New Roman" w:hAnsi="Times New Roman" w:cs="Times New Roman"/>
        </w:rPr>
        <w:t xml:space="preserve"> 37.36 </w:t>
      </w:r>
      <w:r w:rsidR="002943DC" w:rsidRPr="002943DC">
        <w:rPr>
          <w:rFonts w:ascii="Times New Roman" w:hAnsi="Times New Roman" w:cs="Times New Roman"/>
        </w:rPr>
        <w:t>billion</w:t>
      </w:r>
      <w:r w:rsidR="001574B4">
        <w:rPr>
          <w:rFonts w:ascii="Times New Roman" w:hAnsi="Times New Roman" w:cs="Times New Roman"/>
        </w:rPr>
        <w:t xml:space="preserve"> </w:t>
      </w:r>
      <w:r w:rsidR="002943DC" w:rsidRPr="002943DC">
        <w:rPr>
          <w:rFonts w:ascii="Times New Roman" w:hAnsi="Times New Roman" w:cs="Times New Roman"/>
        </w:rPr>
        <w:t>and</w:t>
      </w:r>
      <w:r w:rsidR="001574B4">
        <w:rPr>
          <w:rFonts w:ascii="Times New Roman" w:hAnsi="Times New Roman" w:cs="Times New Roman"/>
        </w:rPr>
        <w:t xml:space="preserve"> </w:t>
      </w:r>
      <w:r w:rsidR="002943DC" w:rsidRPr="002943DC">
        <w:rPr>
          <w:rFonts w:ascii="Times New Roman" w:hAnsi="Times New Roman" w:cs="Times New Roman"/>
        </w:rPr>
        <w:t>India’s</w:t>
      </w:r>
      <w:r w:rsidR="001574B4">
        <w:rPr>
          <w:rFonts w:ascii="Times New Roman" w:hAnsi="Times New Roman" w:cs="Times New Roman"/>
        </w:rPr>
        <w:t xml:space="preserve"> </w:t>
      </w:r>
      <w:r w:rsidR="002943DC" w:rsidRPr="002943DC">
        <w:rPr>
          <w:rFonts w:ascii="Times New Roman" w:hAnsi="Times New Roman" w:cs="Times New Roman"/>
        </w:rPr>
        <w:t>import</w:t>
      </w:r>
      <w:r w:rsidR="001574B4">
        <w:rPr>
          <w:rFonts w:ascii="Times New Roman" w:hAnsi="Times New Roman" w:cs="Times New Roman"/>
        </w:rPr>
        <w:t xml:space="preserve"> </w:t>
      </w:r>
      <w:r w:rsidR="002943DC" w:rsidRPr="002943DC">
        <w:rPr>
          <w:rFonts w:ascii="Times New Roman" w:hAnsi="Times New Roman" w:cs="Times New Roman"/>
        </w:rPr>
        <w:t>from</w:t>
      </w:r>
      <w:r w:rsidR="001574B4">
        <w:rPr>
          <w:rFonts w:ascii="Times New Roman" w:hAnsi="Times New Roman" w:cs="Times New Roman"/>
        </w:rPr>
        <w:t xml:space="preserve"> UAE</w:t>
      </w:r>
      <w:r w:rsidR="005C0757">
        <w:rPr>
          <w:rFonts w:ascii="Times New Roman" w:hAnsi="Times New Roman" w:cs="Times New Roman"/>
        </w:rPr>
        <w:t xml:space="preserve"> at</w:t>
      </w:r>
      <w:r w:rsidR="001574B4">
        <w:rPr>
          <w:rFonts w:ascii="Times New Roman" w:hAnsi="Times New Roman" w:cs="Times New Roman"/>
        </w:rPr>
        <w:t xml:space="preserve"> </w:t>
      </w:r>
      <w:r w:rsidR="002943DC" w:rsidRPr="002943DC">
        <w:rPr>
          <w:rFonts w:ascii="Times New Roman" w:hAnsi="Times New Roman" w:cs="Times New Roman"/>
        </w:rPr>
        <w:t>USD</w:t>
      </w:r>
      <w:r w:rsidR="001574B4">
        <w:rPr>
          <w:rFonts w:ascii="Times New Roman" w:hAnsi="Times New Roman" w:cs="Times New Roman"/>
        </w:rPr>
        <w:t xml:space="preserve"> 63.89</w:t>
      </w:r>
      <w:r w:rsidR="002943DC" w:rsidRPr="002943DC">
        <w:rPr>
          <w:rFonts w:ascii="Times New Roman" w:hAnsi="Times New Roman" w:cs="Times New Roman"/>
        </w:rPr>
        <w:t xml:space="preserve"> billion. </w:t>
      </w:r>
      <w:r w:rsidR="002943DC" w:rsidRPr="002943DC">
        <w:rPr>
          <w:rFonts w:ascii="Times New Roman" w:hAnsi="Times New Roman" w:cs="Times New Roman"/>
          <w:i/>
        </w:rPr>
        <w:t>(Source: DGCI&amp;S, India)</w:t>
      </w:r>
    </w:p>
    <w:p w14:paraId="17893215" w14:textId="77777777" w:rsidR="002943DC" w:rsidRPr="001574B4" w:rsidRDefault="002943DC" w:rsidP="002943DC">
      <w:pPr>
        <w:pStyle w:val="BodyText"/>
        <w:spacing w:line="271" w:lineRule="auto"/>
        <w:ind w:left="52" w:right="54"/>
        <w:jc w:val="both"/>
        <w:rPr>
          <w:rFonts w:ascii="Times New Roman" w:hAnsi="Times New Roman" w:cs="Times New Roman"/>
          <w:w w:val="105"/>
        </w:rPr>
      </w:pPr>
    </w:p>
    <w:p w14:paraId="05531FE2" w14:textId="61117462" w:rsidR="002943DC" w:rsidRPr="002943DC" w:rsidRDefault="002943DC" w:rsidP="002943DC">
      <w:pPr>
        <w:tabs>
          <w:tab w:val="left" w:pos="851"/>
          <w:tab w:val="left" w:pos="946"/>
        </w:tabs>
        <w:spacing w:line="280" w:lineRule="auto"/>
        <w:ind w:right="141"/>
        <w:jc w:val="both"/>
        <w:rPr>
          <w:rFonts w:ascii="Times New Roman" w:eastAsia="Georgia" w:hAnsi="Times New Roman" w:cs="Times New Roman"/>
          <w:b/>
          <w:bCs/>
          <w:color w:val="000009"/>
        </w:rPr>
      </w:pPr>
      <w:r w:rsidRPr="002943DC">
        <w:rPr>
          <w:rFonts w:ascii="Times New Roman" w:eastAsia="Georgia" w:hAnsi="Times New Roman" w:cs="Times New Roman"/>
          <w:b/>
          <w:bCs/>
          <w:color w:val="000009"/>
        </w:rPr>
        <w:t xml:space="preserve">The export-import statistics for the last </w:t>
      </w:r>
      <w:r w:rsidR="0009067D">
        <w:rPr>
          <w:rFonts w:ascii="Times New Roman" w:eastAsia="Georgia" w:hAnsi="Times New Roman" w:cs="Times New Roman"/>
          <w:b/>
          <w:bCs/>
          <w:color w:val="000009"/>
        </w:rPr>
        <w:t>five</w:t>
      </w:r>
      <w:r w:rsidRPr="002943DC">
        <w:rPr>
          <w:rFonts w:ascii="Times New Roman" w:eastAsia="Georgia" w:hAnsi="Times New Roman" w:cs="Times New Roman"/>
          <w:b/>
          <w:bCs/>
          <w:color w:val="000009"/>
        </w:rPr>
        <w:t xml:space="preserve"> years as per Ministry of Commerce</w:t>
      </w:r>
      <w:r w:rsidR="0047285C">
        <w:rPr>
          <w:rFonts w:ascii="Times New Roman" w:eastAsia="Georgia" w:hAnsi="Times New Roman" w:cs="Times New Roman"/>
          <w:b/>
          <w:bCs/>
          <w:color w:val="000009"/>
        </w:rPr>
        <w:t xml:space="preserve"> &amp; Industry, Govt. of India</w:t>
      </w:r>
      <w:r w:rsidRPr="002943DC">
        <w:rPr>
          <w:rFonts w:ascii="Times New Roman" w:eastAsia="Georgia" w:hAnsi="Times New Roman" w:cs="Times New Roman"/>
          <w:b/>
          <w:bCs/>
          <w:color w:val="000009"/>
        </w:rPr>
        <w:t xml:space="preserve"> data </w:t>
      </w:r>
      <w:r w:rsidR="0047285C">
        <w:rPr>
          <w:rFonts w:ascii="Times New Roman" w:eastAsia="Georgia" w:hAnsi="Times New Roman" w:cs="Times New Roman"/>
          <w:b/>
          <w:bCs/>
          <w:color w:val="000009"/>
        </w:rPr>
        <w:t>sources</w:t>
      </w:r>
      <w:r w:rsidRPr="002943DC">
        <w:rPr>
          <w:rFonts w:ascii="Times New Roman" w:eastAsia="Georgia" w:hAnsi="Times New Roman" w:cs="Times New Roman"/>
          <w:b/>
          <w:bCs/>
          <w:color w:val="000009"/>
        </w:rPr>
        <w:t xml:space="preserve"> are as follows:</w:t>
      </w:r>
    </w:p>
    <w:p w14:paraId="497CC26F" w14:textId="0B1FEF9A" w:rsidR="002943DC" w:rsidRPr="001A36C3" w:rsidRDefault="002943DC" w:rsidP="001A36C3">
      <w:pPr>
        <w:jc w:val="center"/>
        <w:rPr>
          <w:rFonts w:ascii="Times New Roman" w:eastAsia="Georgia" w:hAnsi="Times New Roman" w:cs="Times New Roman"/>
          <w:b/>
          <w:bCs/>
          <w:w w:val="115"/>
          <w:u w:val="single"/>
        </w:rPr>
      </w:pPr>
      <w:r w:rsidRPr="001574B4">
        <w:rPr>
          <w:rFonts w:ascii="Times New Roman" w:eastAsia="Georgia" w:hAnsi="Times New Roman" w:cs="Times New Roman"/>
          <w:b/>
          <w:bCs/>
          <w:w w:val="115"/>
          <w:u w:val="single"/>
        </w:rPr>
        <w:t xml:space="preserve">The Export-Import statistics from 2021-22 to 2025-26. </w:t>
      </w:r>
      <w:r w:rsidRPr="002943DC">
        <w:rPr>
          <w:rFonts w:ascii="Times New Roman" w:eastAsia="Georgia" w:hAnsi="Times New Roman" w:cs="Times New Roman"/>
          <w:w w:val="115"/>
        </w:rPr>
        <w:t xml:space="preserve">                                                                                                                                                                                                                  (US Dollar </w:t>
      </w:r>
      <w:r w:rsidR="00F7693B">
        <w:rPr>
          <w:rFonts w:ascii="Times New Roman" w:eastAsia="Georgia" w:hAnsi="Times New Roman" w:cs="Times New Roman"/>
          <w:w w:val="115"/>
        </w:rPr>
        <w:t>Billion</w:t>
      </w:r>
      <w:r w:rsidRPr="002943DC">
        <w:rPr>
          <w:rFonts w:ascii="Times New Roman" w:eastAsia="Georgia" w:hAnsi="Times New Roman" w:cs="Times New Roman"/>
          <w:w w:val="115"/>
        </w:rPr>
        <w:t>)</w:t>
      </w:r>
    </w:p>
    <w:tbl>
      <w:tblPr>
        <w:tblW w:w="4648"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119"/>
        <w:gridCol w:w="2574"/>
        <w:gridCol w:w="1891"/>
        <w:gridCol w:w="1821"/>
      </w:tblGrid>
      <w:tr w:rsidR="002943DC" w:rsidRPr="002943DC" w14:paraId="4201C08D" w14:textId="77777777" w:rsidTr="002943DC">
        <w:trPr>
          <w:trHeight w:val="520"/>
        </w:trPr>
        <w:tc>
          <w:tcPr>
            <w:tcW w:w="1261" w:type="pct"/>
            <w:tcBorders>
              <w:top w:val="single" w:sz="6" w:space="0" w:color="000000"/>
              <w:left w:val="single" w:sz="6" w:space="0" w:color="000000"/>
              <w:bottom w:val="single" w:sz="6" w:space="0" w:color="000000"/>
              <w:right w:val="single" w:sz="6" w:space="0" w:color="000000"/>
            </w:tcBorders>
          </w:tcPr>
          <w:p w14:paraId="523C0513" w14:textId="77777777" w:rsidR="002943DC" w:rsidRPr="002943DC" w:rsidRDefault="002943DC">
            <w:pPr>
              <w:spacing w:before="11"/>
              <w:ind w:left="-709" w:right="190" w:firstLine="851"/>
              <w:jc w:val="center"/>
              <w:rPr>
                <w:rFonts w:ascii="Times New Roman" w:eastAsia="Georgia" w:hAnsi="Times New Roman" w:cs="Times New Roman"/>
                <w:b/>
                <w:sz w:val="24"/>
                <w:szCs w:val="24"/>
              </w:rPr>
            </w:pPr>
          </w:p>
          <w:p w14:paraId="639B8131" w14:textId="77777777" w:rsidR="002943DC" w:rsidRPr="002943DC" w:rsidRDefault="002943DC">
            <w:pPr>
              <w:ind w:left="142" w:right="190"/>
              <w:jc w:val="center"/>
              <w:rPr>
                <w:rFonts w:ascii="Times New Roman" w:eastAsia="Georgia" w:hAnsi="Times New Roman" w:cs="Times New Roman"/>
                <w:b/>
                <w:sz w:val="24"/>
                <w:szCs w:val="24"/>
              </w:rPr>
            </w:pPr>
            <w:r w:rsidRPr="002943DC">
              <w:rPr>
                <w:rFonts w:ascii="Times New Roman" w:eastAsia="Georgia" w:hAnsi="Times New Roman" w:cs="Times New Roman"/>
                <w:b/>
                <w:w w:val="105"/>
                <w:sz w:val="24"/>
                <w:szCs w:val="24"/>
              </w:rPr>
              <w:t>Year</w:t>
            </w:r>
          </w:p>
        </w:tc>
        <w:tc>
          <w:tcPr>
            <w:tcW w:w="1531" w:type="pct"/>
            <w:tcBorders>
              <w:top w:val="single" w:sz="6" w:space="0" w:color="000000"/>
              <w:left w:val="single" w:sz="6" w:space="0" w:color="000000"/>
              <w:bottom w:val="single" w:sz="6" w:space="0" w:color="000000"/>
              <w:right w:val="single" w:sz="6" w:space="0" w:color="000000"/>
            </w:tcBorders>
            <w:hideMark/>
          </w:tcPr>
          <w:p w14:paraId="5FB82617" w14:textId="77777777" w:rsidR="002943DC" w:rsidRPr="002943DC" w:rsidRDefault="002943DC">
            <w:pPr>
              <w:spacing w:before="133" w:line="244" w:lineRule="auto"/>
              <w:ind w:left="-709" w:right="337" w:firstLine="851"/>
              <w:jc w:val="center"/>
              <w:rPr>
                <w:rFonts w:ascii="Times New Roman" w:eastAsia="Georgia" w:hAnsi="Times New Roman" w:cs="Times New Roman"/>
                <w:b/>
                <w:sz w:val="24"/>
                <w:szCs w:val="24"/>
              </w:rPr>
            </w:pPr>
            <w:r w:rsidRPr="002943DC">
              <w:rPr>
                <w:rFonts w:ascii="Times New Roman" w:eastAsia="Georgia" w:hAnsi="Times New Roman" w:cs="Times New Roman"/>
                <w:b/>
                <w:spacing w:val="-1"/>
                <w:w w:val="105"/>
                <w:sz w:val="24"/>
                <w:szCs w:val="24"/>
              </w:rPr>
              <w:t xml:space="preserve">Total </w:t>
            </w:r>
            <w:r w:rsidRPr="002943DC">
              <w:rPr>
                <w:rFonts w:ascii="Times New Roman" w:eastAsia="Georgia" w:hAnsi="Times New Roman" w:cs="Times New Roman"/>
                <w:b/>
                <w:sz w:val="24"/>
                <w:szCs w:val="24"/>
              </w:rPr>
              <w:t>trade</w:t>
            </w:r>
          </w:p>
        </w:tc>
        <w:tc>
          <w:tcPr>
            <w:tcW w:w="1125" w:type="pct"/>
            <w:tcBorders>
              <w:top w:val="single" w:sz="6" w:space="0" w:color="000000"/>
              <w:left w:val="single" w:sz="6" w:space="0" w:color="000000"/>
              <w:bottom w:val="single" w:sz="6" w:space="0" w:color="000000"/>
              <w:right w:val="single" w:sz="6" w:space="0" w:color="000000"/>
            </w:tcBorders>
          </w:tcPr>
          <w:p w14:paraId="369A32C6" w14:textId="77777777" w:rsidR="002943DC" w:rsidRPr="002943DC" w:rsidRDefault="002943DC">
            <w:pPr>
              <w:spacing w:line="260" w:lineRule="atLeast"/>
              <w:ind w:left="-709" w:right="186" w:firstLine="851"/>
              <w:jc w:val="center"/>
              <w:rPr>
                <w:rFonts w:ascii="Times New Roman" w:eastAsia="Georgia" w:hAnsi="Times New Roman" w:cs="Times New Roman"/>
                <w:b/>
                <w:w w:val="105"/>
                <w:sz w:val="24"/>
                <w:szCs w:val="24"/>
              </w:rPr>
            </w:pPr>
          </w:p>
          <w:p w14:paraId="549A976B" w14:textId="77777777" w:rsidR="002943DC" w:rsidRPr="002943DC" w:rsidRDefault="002943DC">
            <w:pPr>
              <w:spacing w:line="260" w:lineRule="atLeast"/>
              <w:ind w:left="-709" w:right="186" w:firstLine="851"/>
              <w:jc w:val="center"/>
              <w:rPr>
                <w:rFonts w:ascii="Times New Roman" w:eastAsia="Georgia" w:hAnsi="Times New Roman" w:cs="Times New Roman"/>
                <w:b/>
                <w:sz w:val="24"/>
                <w:szCs w:val="24"/>
              </w:rPr>
            </w:pPr>
            <w:r w:rsidRPr="002943DC">
              <w:rPr>
                <w:rFonts w:ascii="Times New Roman" w:eastAsia="Georgia" w:hAnsi="Times New Roman" w:cs="Times New Roman"/>
                <w:b/>
                <w:w w:val="105"/>
                <w:sz w:val="24"/>
                <w:szCs w:val="24"/>
              </w:rPr>
              <w:t>Import</w:t>
            </w:r>
          </w:p>
        </w:tc>
        <w:tc>
          <w:tcPr>
            <w:tcW w:w="1083" w:type="pct"/>
            <w:tcBorders>
              <w:top w:val="single" w:sz="6" w:space="0" w:color="000000"/>
              <w:left w:val="single" w:sz="6" w:space="0" w:color="000000"/>
              <w:bottom w:val="single" w:sz="6" w:space="0" w:color="000000"/>
              <w:right w:val="single" w:sz="6" w:space="0" w:color="000000"/>
            </w:tcBorders>
          </w:tcPr>
          <w:p w14:paraId="49AFB445" w14:textId="77777777" w:rsidR="002943DC" w:rsidRPr="002943DC" w:rsidRDefault="002943DC">
            <w:pPr>
              <w:spacing w:line="260" w:lineRule="atLeast"/>
              <w:ind w:left="-709" w:right="380" w:firstLine="851"/>
              <w:jc w:val="center"/>
              <w:rPr>
                <w:rFonts w:ascii="Times New Roman" w:eastAsia="Georgia" w:hAnsi="Times New Roman" w:cs="Times New Roman"/>
                <w:b/>
                <w:w w:val="105"/>
                <w:sz w:val="24"/>
                <w:szCs w:val="24"/>
              </w:rPr>
            </w:pPr>
          </w:p>
          <w:p w14:paraId="74A39115" w14:textId="77777777" w:rsidR="002943DC" w:rsidRPr="002943DC" w:rsidRDefault="002943DC">
            <w:pPr>
              <w:spacing w:line="260" w:lineRule="atLeast"/>
              <w:ind w:left="-709" w:right="380" w:firstLine="851"/>
              <w:jc w:val="center"/>
              <w:rPr>
                <w:rFonts w:ascii="Times New Roman" w:eastAsia="Georgia" w:hAnsi="Times New Roman" w:cs="Times New Roman"/>
                <w:b/>
                <w:sz w:val="24"/>
                <w:szCs w:val="24"/>
              </w:rPr>
            </w:pPr>
            <w:r w:rsidRPr="002943DC">
              <w:rPr>
                <w:rFonts w:ascii="Times New Roman" w:eastAsia="Georgia" w:hAnsi="Times New Roman" w:cs="Times New Roman"/>
                <w:b/>
                <w:w w:val="105"/>
                <w:sz w:val="24"/>
                <w:szCs w:val="24"/>
              </w:rPr>
              <w:t>Export</w:t>
            </w:r>
          </w:p>
        </w:tc>
      </w:tr>
      <w:tr w:rsidR="002943DC" w:rsidRPr="002943DC" w14:paraId="36CFA265" w14:textId="77777777" w:rsidTr="002943DC">
        <w:trPr>
          <w:trHeight w:val="268"/>
        </w:trPr>
        <w:tc>
          <w:tcPr>
            <w:tcW w:w="1261" w:type="pct"/>
            <w:tcBorders>
              <w:top w:val="single" w:sz="6" w:space="0" w:color="000000"/>
              <w:left w:val="single" w:sz="6" w:space="0" w:color="000000"/>
              <w:bottom w:val="single" w:sz="6" w:space="0" w:color="000000"/>
              <w:right w:val="single" w:sz="6" w:space="0" w:color="000000"/>
            </w:tcBorders>
            <w:hideMark/>
          </w:tcPr>
          <w:p w14:paraId="5844A6AE" w14:textId="77777777" w:rsidR="002943DC" w:rsidRPr="002943DC" w:rsidRDefault="002943DC">
            <w:pPr>
              <w:spacing w:before="5"/>
              <w:ind w:left="-709" w:right="190" w:firstLine="851"/>
              <w:jc w:val="center"/>
              <w:rPr>
                <w:rFonts w:ascii="Times New Roman" w:eastAsia="Georgia" w:hAnsi="Times New Roman" w:cs="Times New Roman"/>
                <w:bCs/>
                <w:sz w:val="24"/>
                <w:szCs w:val="24"/>
              </w:rPr>
            </w:pPr>
            <w:r w:rsidRPr="002943DC">
              <w:rPr>
                <w:rFonts w:ascii="Times New Roman" w:eastAsia="Georgia" w:hAnsi="Times New Roman" w:cs="Times New Roman"/>
                <w:bCs/>
                <w:w w:val="105"/>
                <w:sz w:val="24"/>
                <w:szCs w:val="24"/>
              </w:rPr>
              <w:t>2021-22</w:t>
            </w:r>
          </w:p>
        </w:tc>
        <w:tc>
          <w:tcPr>
            <w:tcW w:w="1531" w:type="pct"/>
            <w:tcBorders>
              <w:top w:val="single" w:sz="6" w:space="0" w:color="000000"/>
              <w:left w:val="single" w:sz="6" w:space="0" w:color="000000"/>
              <w:bottom w:val="single" w:sz="6" w:space="0" w:color="000000"/>
              <w:right w:val="single" w:sz="6" w:space="0" w:color="000000"/>
            </w:tcBorders>
            <w:hideMark/>
          </w:tcPr>
          <w:p w14:paraId="5CBB49A9" w14:textId="20886FB3" w:rsidR="002943DC" w:rsidRPr="002943DC" w:rsidRDefault="001C2CF7">
            <w:pPr>
              <w:spacing w:before="100" w:beforeAutospacing="1"/>
              <w:ind w:left="-709" w:right="190" w:firstLine="851"/>
              <w:jc w:val="center"/>
              <w:rPr>
                <w:rFonts w:ascii="Times New Roman" w:eastAsia="Georgia" w:hAnsi="Times New Roman" w:cs="Times New Roman"/>
                <w:bCs/>
                <w:sz w:val="24"/>
                <w:szCs w:val="24"/>
              </w:rPr>
            </w:pPr>
            <w:r>
              <w:rPr>
                <w:rFonts w:ascii="Times New Roman" w:eastAsia="Georgia" w:hAnsi="Times New Roman" w:cs="Times New Roman"/>
                <w:bCs/>
                <w:sz w:val="24"/>
                <w:szCs w:val="24"/>
              </w:rPr>
              <w:t>72.8</w:t>
            </w:r>
            <w:r w:rsidR="00705ACE">
              <w:rPr>
                <w:rFonts w:ascii="Times New Roman" w:eastAsia="Georgia" w:hAnsi="Times New Roman" w:cs="Times New Roman"/>
                <w:bCs/>
                <w:sz w:val="24"/>
                <w:szCs w:val="24"/>
              </w:rPr>
              <w:t>8</w:t>
            </w:r>
          </w:p>
        </w:tc>
        <w:tc>
          <w:tcPr>
            <w:tcW w:w="1125" w:type="pct"/>
            <w:tcBorders>
              <w:top w:val="single" w:sz="6" w:space="0" w:color="000000"/>
              <w:left w:val="single" w:sz="6" w:space="0" w:color="000000"/>
              <w:bottom w:val="single" w:sz="6" w:space="0" w:color="000000"/>
              <w:right w:val="single" w:sz="6" w:space="0" w:color="000000"/>
            </w:tcBorders>
            <w:hideMark/>
          </w:tcPr>
          <w:p w14:paraId="1805BA2E" w14:textId="77777777" w:rsidR="002943DC" w:rsidRPr="002943DC" w:rsidRDefault="001C2CF7">
            <w:pPr>
              <w:spacing w:before="100" w:beforeAutospacing="1"/>
              <w:ind w:left="-709" w:right="190" w:firstLine="851"/>
              <w:jc w:val="center"/>
              <w:rPr>
                <w:rFonts w:ascii="Times New Roman" w:eastAsia="Georgia" w:hAnsi="Times New Roman" w:cs="Times New Roman"/>
                <w:bCs/>
                <w:sz w:val="24"/>
                <w:szCs w:val="24"/>
              </w:rPr>
            </w:pPr>
            <w:r>
              <w:rPr>
                <w:rFonts w:ascii="Times New Roman" w:eastAsia="Georgia" w:hAnsi="Times New Roman" w:cs="Times New Roman"/>
                <w:bCs/>
                <w:sz w:val="24"/>
                <w:szCs w:val="24"/>
              </w:rPr>
              <w:t>44.83</w:t>
            </w:r>
          </w:p>
        </w:tc>
        <w:tc>
          <w:tcPr>
            <w:tcW w:w="1083" w:type="pct"/>
            <w:tcBorders>
              <w:top w:val="single" w:sz="6" w:space="0" w:color="000000"/>
              <w:left w:val="single" w:sz="6" w:space="0" w:color="000000"/>
              <w:bottom w:val="single" w:sz="6" w:space="0" w:color="000000"/>
              <w:right w:val="single" w:sz="6" w:space="0" w:color="000000"/>
            </w:tcBorders>
            <w:hideMark/>
          </w:tcPr>
          <w:p w14:paraId="2EC42BC3" w14:textId="77777777" w:rsidR="002943DC" w:rsidRPr="002943DC" w:rsidRDefault="00F7693B">
            <w:pPr>
              <w:spacing w:before="100" w:beforeAutospacing="1"/>
              <w:ind w:left="-709" w:right="190" w:firstLine="851"/>
              <w:jc w:val="center"/>
              <w:rPr>
                <w:rFonts w:ascii="Times New Roman" w:eastAsia="Georgia" w:hAnsi="Times New Roman" w:cs="Times New Roman"/>
                <w:bCs/>
                <w:sz w:val="24"/>
                <w:szCs w:val="24"/>
              </w:rPr>
            </w:pPr>
            <w:r>
              <w:rPr>
                <w:rFonts w:ascii="Times New Roman" w:eastAsia="Georgia" w:hAnsi="Times New Roman" w:cs="Times New Roman"/>
                <w:bCs/>
                <w:sz w:val="24"/>
                <w:szCs w:val="24"/>
              </w:rPr>
              <w:t>28.04</w:t>
            </w:r>
          </w:p>
        </w:tc>
      </w:tr>
      <w:tr w:rsidR="002943DC" w:rsidRPr="002943DC" w14:paraId="62E5EA2D" w14:textId="77777777" w:rsidTr="002943DC">
        <w:trPr>
          <w:trHeight w:val="113"/>
        </w:trPr>
        <w:tc>
          <w:tcPr>
            <w:tcW w:w="1261" w:type="pct"/>
            <w:tcBorders>
              <w:top w:val="single" w:sz="6" w:space="0" w:color="000000"/>
              <w:left w:val="single" w:sz="6" w:space="0" w:color="000000"/>
              <w:bottom w:val="single" w:sz="6" w:space="0" w:color="000000"/>
              <w:right w:val="single" w:sz="6" w:space="0" w:color="000000"/>
            </w:tcBorders>
            <w:hideMark/>
          </w:tcPr>
          <w:p w14:paraId="5695CC44" w14:textId="77777777" w:rsidR="002943DC" w:rsidRPr="002943DC" w:rsidRDefault="002943DC">
            <w:pPr>
              <w:spacing w:before="5"/>
              <w:ind w:left="-709" w:right="190" w:firstLine="851"/>
              <w:jc w:val="center"/>
              <w:rPr>
                <w:rFonts w:ascii="Times New Roman" w:eastAsia="Georgia" w:hAnsi="Times New Roman" w:cs="Times New Roman"/>
                <w:bCs/>
                <w:w w:val="105"/>
                <w:sz w:val="24"/>
                <w:szCs w:val="24"/>
              </w:rPr>
            </w:pPr>
            <w:r w:rsidRPr="002943DC">
              <w:rPr>
                <w:rFonts w:ascii="Times New Roman" w:eastAsia="Georgia" w:hAnsi="Times New Roman" w:cs="Times New Roman"/>
                <w:bCs/>
                <w:w w:val="105"/>
                <w:sz w:val="24"/>
                <w:szCs w:val="24"/>
              </w:rPr>
              <w:t>2022-23</w:t>
            </w:r>
          </w:p>
        </w:tc>
        <w:tc>
          <w:tcPr>
            <w:tcW w:w="1531" w:type="pct"/>
            <w:tcBorders>
              <w:top w:val="single" w:sz="6" w:space="0" w:color="000000"/>
              <w:left w:val="single" w:sz="6" w:space="0" w:color="000000"/>
              <w:bottom w:val="single" w:sz="6" w:space="0" w:color="000000"/>
              <w:right w:val="single" w:sz="6" w:space="0" w:color="000000"/>
            </w:tcBorders>
            <w:hideMark/>
          </w:tcPr>
          <w:p w14:paraId="4BCA22CC" w14:textId="77777777" w:rsidR="002943DC" w:rsidRPr="002943DC" w:rsidRDefault="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84.84</w:t>
            </w:r>
          </w:p>
        </w:tc>
        <w:tc>
          <w:tcPr>
            <w:tcW w:w="1125" w:type="pct"/>
            <w:tcBorders>
              <w:top w:val="single" w:sz="6" w:space="0" w:color="000000"/>
              <w:left w:val="single" w:sz="6" w:space="0" w:color="000000"/>
              <w:bottom w:val="single" w:sz="6" w:space="0" w:color="000000"/>
              <w:right w:val="single" w:sz="6" w:space="0" w:color="000000"/>
            </w:tcBorders>
            <w:hideMark/>
          </w:tcPr>
          <w:p w14:paraId="24A5BAA3" w14:textId="77777777" w:rsidR="002943DC" w:rsidRPr="002943DC" w:rsidRDefault="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53.23</w:t>
            </w:r>
          </w:p>
        </w:tc>
        <w:tc>
          <w:tcPr>
            <w:tcW w:w="1083" w:type="pct"/>
            <w:tcBorders>
              <w:top w:val="single" w:sz="6" w:space="0" w:color="000000"/>
              <w:left w:val="single" w:sz="6" w:space="0" w:color="000000"/>
              <w:bottom w:val="single" w:sz="6" w:space="0" w:color="000000"/>
              <w:right w:val="single" w:sz="6" w:space="0" w:color="000000"/>
            </w:tcBorders>
            <w:hideMark/>
          </w:tcPr>
          <w:p w14:paraId="04F5C07B" w14:textId="77777777" w:rsidR="002943DC" w:rsidRPr="002943DC" w:rsidRDefault="00F7693B">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31.61</w:t>
            </w:r>
          </w:p>
        </w:tc>
      </w:tr>
      <w:tr w:rsidR="002943DC" w:rsidRPr="002943DC" w14:paraId="21E067F4" w14:textId="77777777" w:rsidTr="002943DC">
        <w:trPr>
          <w:trHeight w:val="306"/>
        </w:trPr>
        <w:tc>
          <w:tcPr>
            <w:tcW w:w="1261" w:type="pct"/>
            <w:tcBorders>
              <w:top w:val="single" w:sz="6" w:space="0" w:color="000000"/>
              <w:left w:val="single" w:sz="6" w:space="0" w:color="000000"/>
              <w:bottom w:val="single" w:sz="6" w:space="0" w:color="000000"/>
              <w:right w:val="single" w:sz="6" w:space="0" w:color="000000"/>
            </w:tcBorders>
            <w:hideMark/>
          </w:tcPr>
          <w:p w14:paraId="2955A2BB" w14:textId="77777777" w:rsidR="002943DC" w:rsidRPr="002943DC" w:rsidRDefault="002943DC">
            <w:pPr>
              <w:spacing w:before="5"/>
              <w:ind w:left="-709" w:right="190" w:firstLine="851"/>
              <w:jc w:val="center"/>
              <w:rPr>
                <w:rFonts w:ascii="Times New Roman" w:eastAsia="Georgia" w:hAnsi="Times New Roman" w:cs="Times New Roman"/>
                <w:bCs/>
                <w:w w:val="105"/>
                <w:sz w:val="24"/>
                <w:szCs w:val="24"/>
              </w:rPr>
            </w:pPr>
            <w:r w:rsidRPr="002943DC">
              <w:rPr>
                <w:rFonts w:ascii="Times New Roman" w:eastAsia="Georgia" w:hAnsi="Times New Roman" w:cs="Times New Roman"/>
                <w:bCs/>
                <w:w w:val="105"/>
                <w:sz w:val="24"/>
                <w:szCs w:val="24"/>
              </w:rPr>
              <w:t>2023-24</w:t>
            </w:r>
          </w:p>
        </w:tc>
        <w:tc>
          <w:tcPr>
            <w:tcW w:w="1531" w:type="pct"/>
            <w:tcBorders>
              <w:top w:val="single" w:sz="6" w:space="0" w:color="000000"/>
              <w:left w:val="single" w:sz="6" w:space="0" w:color="000000"/>
              <w:bottom w:val="single" w:sz="6" w:space="0" w:color="000000"/>
              <w:right w:val="single" w:sz="6" w:space="0" w:color="000000"/>
            </w:tcBorders>
            <w:hideMark/>
          </w:tcPr>
          <w:p w14:paraId="5550A65D" w14:textId="36F74688" w:rsidR="002943DC" w:rsidRPr="002943DC" w:rsidRDefault="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8</w:t>
            </w:r>
            <w:r w:rsidR="00705ACE">
              <w:rPr>
                <w:rFonts w:ascii="Times New Roman" w:eastAsia="Georgia" w:hAnsi="Times New Roman" w:cs="Times New Roman"/>
                <w:bCs/>
                <w:w w:val="105"/>
                <w:sz w:val="24"/>
                <w:szCs w:val="24"/>
              </w:rPr>
              <w:t>3</w:t>
            </w:r>
            <w:r>
              <w:rPr>
                <w:rFonts w:ascii="Times New Roman" w:eastAsia="Georgia" w:hAnsi="Times New Roman" w:cs="Times New Roman"/>
                <w:bCs/>
                <w:w w:val="105"/>
                <w:sz w:val="24"/>
                <w:szCs w:val="24"/>
              </w:rPr>
              <w:t>.</w:t>
            </w:r>
            <w:r w:rsidR="00705ACE">
              <w:rPr>
                <w:rFonts w:ascii="Times New Roman" w:eastAsia="Georgia" w:hAnsi="Times New Roman" w:cs="Times New Roman"/>
                <w:bCs/>
                <w:w w:val="105"/>
                <w:sz w:val="24"/>
                <w:szCs w:val="24"/>
              </w:rPr>
              <w:t>65</w:t>
            </w:r>
          </w:p>
        </w:tc>
        <w:tc>
          <w:tcPr>
            <w:tcW w:w="1125" w:type="pct"/>
            <w:tcBorders>
              <w:top w:val="single" w:sz="6" w:space="0" w:color="000000"/>
              <w:left w:val="single" w:sz="6" w:space="0" w:color="000000"/>
              <w:bottom w:val="single" w:sz="6" w:space="0" w:color="000000"/>
              <w:right w:val="single" w:sz="6" w:space="0" w:color="000000"/>
            </w:tcBorders>
            <w:hideMark/>
          </w:tcPr>
          <w:p w14:paraId="120B341A" w14:textId="3139E423" w:rsidR="002943DC" w:rsidRPr="002943DC" w:rsidRDefault="00F7693B" w:rsidP="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4</w:t>
            </w:r>
            <w:r w:rsidR="00705ACE">
              <w:rPr>
                <w:rFonts w:ascii="Times New Roman" w:eastAsia="Georgia" w:hAnsi="Times New Roman" w:cs="Times New Roman"/>
                <w:bCs/>
                <w:w w:val="105"/>
                <w:sz w:val="24"/>
                <w:szCs w:val="24"/>
              </w:rPr>
              <w:t>8</w:t>
            </w:r>
            <w:r>
              <w:rPr>
                <w:rFonts w:ascii="Times New Roman" w:eastAsia="Georgia" w:hAnsi="Times New Roman" w:cs="Times New Roman"/>
                <w:bCs/>
                <w:w w:val="105"/>
                <w:sz w:val="24"/>
                <w:szCs w:val="24"/>
              </w:rPr>
              <w:t>.</w:t>
            </w:r>
            <w:r w:rsidR="00705ACE">
              <w:rPr>
                <w:rFonts w:ascii="Times New Roman" w:eastAsia="Georgia" w:hAnsi="Times New Roman" w:cs="Times New Roman"/>
                <w:bCs/>
                <w:w w:val="105"/>
                <w:sz w:val="24"/>
                <w:szCs w:val="24"/>
              </w:rPr>
              <w:t>03</w:t>
            </w:r>
            <w:r>
              <w:rPr>
                <w:rFonts w:ascii="Times New Roman" w:eastAsia="Georgia" w:hAnsi="Times New Roman" w:cs="Times New Roman"/>
                <w:bCs/>
                <w:w w:val="105"/>
                <w:sz w:val="24"/>
                <w:szCs w:val="24"/>
              </w:rPr>
              <w:t xml:space="preserve"> </w:t>
            </w:r>
          </w:p>
        </w:tc>
        <w:tc>
          <w:tcPr>
            <w:tcW w:w="1083" w:type="pct"/>
            <w:tcBorders>
              <w:top w:val="single" w:sz="6" w:space="0" w:color="000000"/>
              <w:left w:val="single" w:sz="6" w:space="0" w:color="000000"/>
              <w:bottom w:val="single" w:sz="6" w:space="0" w:color="000000"/>
              <w:right w:val="single" w:sz="6" w:space="0" w:color="000000"/>
            </w:tcBorders>
            <w:hideMark/>
          </w:tcPr>
          <w:p w14:paraId="52DA75A7" w14:textId="77777777" w:rsidR="002943DC" w:rsidRPr="002943DC" w:rsidRDefault="00F7693B">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35.62</w:t>
            </w:r>
          </w:p>
        </w:tc>
      </w:tr>
      <w:tr w:rsidR="002943DC" w:rsidRPr="002943DC" w14:paraId="1C6DEC0E" w14:textId="77777777" w:rsidTr="002943DC">
        <w:trPr>
          <w:trHeight w:val="185"/>
        </w:trPr>
        <w:tc>
          <w:tcPr>
            <w:tcW w:w="1261" w:type="pct"/>
            <w:tcBorders>
              <w:top w:val="single" w:sz="6" w:space="0" w:color="000000"/>
              <w:left w:val="single" w:sz="6" w:space="0" w:color="000000"/>
              <w:bottom w:val="single" w:sz="6" w:space="0" w:color="000000"/>
              <w:right w:val="single" w:sz="6" w:space="0" w:color="000000"/>
            </w:tcBorders>
            <w:hideMark/>
          </w:tcPr>
          <w:p w14:paraId="3900BEC7" w14:textId="77777777" w:rsidR="002943DC" w:rsidRPr="002943DC" w:rsidRDefault="002943DC">
            <w:pPr>
              <w:spacing w:before="5"/>
              <w:ind w:left="-709" w:right="190" w:firstLine="851"/>
              <w:jc w:val="center"/>
              <w:rPr>
                <w:rFonts w:ascii="Times New Roman" w:eastAsia="Georgia" w:hAnsi="Times New Roman" w:cs="Times New Roman"/>
                <w:bCs/>
                <w:w w:val="105"/>
                <w:sz w:val="24"/>
                <w:szCs w:val="24"/>
              </w:rPr>
            </w:pPr>
            <w:r w:rsidRPr="002943DC">
              <w:rPr>
                <w:rFonts w:ascii="Times New Roman" w:eastAsia="Georgia" w:hAnsi="Times New Roman" w:cs="Times New Roman"/>
                <w:bCs/>
                <w:w w:val="105"/>
                <w:sz w:val="24"/>
                <w:szCs w:val="24"/>
              </w:rPr>
              <w:t>2024-25</w:t>
            </w:r>
          </w:p>
        </w:tc>
        <w:tc>
          <w:tcPr>
            <w:tcW w:w="1531" w:type="pct"/>
            <w:tcBorders>
              <w:top w:val="single" w:sz="6" w:space="0" w:color="000000"/>
              <w:left w:val="single" w:sz="6" w:space="0" w:color="000000"/>
              <w:bottom w:val="single" w:sz="6" w:space="0" w:color="000000"/>
              <w:right w:val="single" w:sz="6" w:space="0" w:color="000000"/>
            </w:tcBorders>
            <w:hideMark/>
          </w:tcPr>
          <w:p w14:paraId="6CA3A88A" w14:textId="346BBA8E" w:rsidR="002943DC" w:rsidRPr="002943DC" w:rsidRDefault="001C2CF7" w:rsidP="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100.0</w:t>
            </w:r>
            <w:r w:rsidR="00DE5D15">
              <w:rPr>
                <w:rFonts w:ascii="Times New Roman" w:eastAsia="Georgia" w:hAnsi="Times New Roman" w:cs="Times New Roman"/>
                <w:bCs/>
                <w:w w:val="105"/>
                <w:sz w:val="24"/>
                <w:szCs w:val="24"/>
              </w:rPr>
              <w:t>4</w:t>
            </w:r>
          </w:p>
        </w:tc>
        <w:tc>
          <w:tcPr>
            <w:tcW w:w="1125" w:type="pct"/>
            <w:tcBorders>
              <w:top w:val="single" w:sz="6" w:space="0" w:color="000000"/>
              <w:left w:val="single" w:sz="6" w:space="0" w:color="000000"/>
              <w:bottom w:val="single" w:sz="6" w:space="0" w:color="000000"/>
              <w:right w:val="single" w:sz="6" w:space="0" w:color="000000"/>
            </w:tcBorders>
            <w:hideMark/>
          </w:tcPr>
          <w:p w14:paraId="5D85A493" w14:textId="77777777" w:rsidR="002943DC" w:rsidRPr="002943DC" w:rsidRDefault="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63.40</w:t>
            </w:r>
          </w:p>
        </w:tc>
        <w:tc>
          <w:tcPr>
            <w:tcW w:w="1083" w:type="pct"/>
            <w:tcBorders>
              <w:top w:val="single" w:sz="6" w:space="0" w:color="000000"/>
              <w:left w:val="single" w:sz="6" w:space="0" w:color="000000"/>
              <w:bottom w:val="single" w:sz="6" w:space="0" w:color="000000"/>
              <w:right w:val="single" w:sz="6" w:space="0" w:color="000000"/>
            </w:tcBorders>
            <w:hideMark/>
          </w:tcPr>
          <w:p w14:paraId="6B0791B6" w14:textId="77777777" w:rsidR="002943DC" w:rsidRPr="002943DC" w:rsidRDefault="00F7693B">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36.63</w:t>
            </w:r>
          </w:p>
        </w:tc>
      </w:tr>
      <w:tr w:rsidR="002943DC" w:rsidRPr="002943DC" w14:paraId="4014C4BB" w14:textId="77777777" w:rsidTr="002943DC">
        <w:trPr>
          <w:trHeight w:val="185"/>
        </w:trPr>
        <w:tc>
          <w:tcPr>
            <w:tcW w:w="1261" w:type="pct"/>
            <w:tcBorders>
              <w:top w:val="single" w:sz="6" w:space="0" w:color="000000"/>
              <w:left w:val="single" w:sz="6" w:space="0" w:color="000000"/>
              <w:bottom w:val="single" w:sz="6" w:space="0" w:color="000000"/>
              <w:right w:val="single" w:sz="6" w:space="0" w:color="000000"/>
            </w:tcBorders>
            <w:hideMark/>
          </w:tcPr>
          <w:p w14:paraId="40058F28" w14:textId="77777777" w:rsidR="002943DC" w:rsidRPr="002943DC" w:rsidRDefault="002943DC">
            <w:pPr>
              <w:spacing w:before="5"/>
              <w:ind w:left="-709" w:right="190" w:firstLine="851"/>
              <w:jc w:val="center"/>
              <w:rPr>
                <w:rFonts w:ascii="Times New Roman" w:eastAsia="Georgia" w:hAnsi="Times New Roman" w:cs="Times New Roman"/>
                <w:bCs/>
                <w:w w:val="105"/>
                <w:sz w:val="24"/>
                <w:szCs w:val="24"/>
              </w:rPr>
            </w:pPr>
            <w:r w:rsidRPr="002943DC">
              <w:rPr>
                <w:rFonts w:ascii="Times New Roman" w:eastAsia="Georgia" w:hAnsi="Times New Roman" w:cs="Times New Roman"/>
                <w:bCs/>
                <w:w w:val="105"/>
                <w:sz w:val="24"/>
                <w:szCs w:val="24"/>
              </w:rPr>
              <w:t>2025-26</w:t>
            </w:r>
          </w:p>
        </w:tc>
        <w:tc>
          <w:tcPr>
            <w:tcW w:w="1531" w:type="pct"/>
            <w:tcBorders>
              <w:top w:val="single" w:sz="6" w:space="0" w:color="000000"/>
              <w:left w:val="single" w:sz="6" w:space="0" w:color="000000"/>
              <w:bottom w:val="single" w:sz="6" w:space="0" w:color="000000"/>
              <w:right w:val="single" w:sz="6" w:space="0" w:color="000000"/>
            </w:tcBorders>
            <w:hideMark/>
          </w:tcPr>
          <w:p w14:paraId="3051C29B" w14:textId="60FCAB53" w:rsidR="002943DC" w:rsidRPr="002943DC" w:rsidRDefault="001C2CF7" w:rsidP="001C2CF7">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10</w:t>
            </w:r>
            <w:r w:rsidR="00B964BA">
              <w:rPr>
                <w:rFonts w:ascii="Times New Roman" w:eastAsia="Georgia" w:hAnsi="Times New Roman" w:cs="Times New Roman"/>
                <w:bCs/>
                <w:w w:val="105"/>
                <w:sz w:val="24"/>
                <w:szCs w:val="24"/>
              </w:rPr>
              <w:t>1</w:t>
            </w:r>
            <w:r>
              <w:rPr>
                <w:rFonts w:ascii="Times New Roman" w:eastAsia="Georgia" w:hAnsi="Times New Roman" w:cs="Times New Roman"/>
                <w:bCs/>
                <w:w w:val="105"/>
                <w:sz w:val="24"/>
                <w:szCs w:val="24"/>
              </w:rPr>
              <w:t>.</w:t>
            </w:r>
            <w:r w:rsidR="00DE5D15">
              <w:rPr>
                <w:rFonts w:ascii="Times New Roman" w:eastAsia="Georgia" w:hAnsi="Times New Roman" w:cs="Times New Roman"/>
                <w:bCs/>
                <w:w w:val="105"/>
                <w:sz w:val="24"/>
                <w:szCs w:val="24"/>
              </w:rPr>
              <w:t>25</w:t>
            </w:r>
          </w:p>
        </w:tc>
        <w:tc>
          <w:tcPr>
            <w:tcW w:w="1125" w:type="pct"/>
            <w:tcBorders>
              <w:top w:val="single" w:sz="6" w:space="0" w:color="000000"/>
              <w:left w:val="single" w:sz="6" w:space="0" w:color="000000"/>
              <w:bottom w:val="single" w:sz="6" w:space="0" w:color="000000"/>
              <w:right w:val="single" w:sz="6" w:space="0" w:color="000000"/>
            </w:tcBorders>
            <w:hideMark/>
          </w:tcPr>
          <w:p w14:paraId="4BA37C50" w14:textId="77777777" w:rsidR="002943DC" w:rsidRPr="002943DC" w:rsidRDefault="00F7693B" w:rsidP="00F7693B">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 xml:space="preserve">63.89 </w:t>
            </w:r>
          </w:p>
        </w:tc>
        <w:tc>
          <w:tcPr>
            <w:tcW w:w="1083" w:type="pct"/>
            <w:tcBorders>
              <w:top w:val="single" w:sz="6" w:space="0" w:color="000000"/>
              <w:left w:val="single" w:sz="6" w:space="0" w:color="000000"/>
              <w:bottom w:val="single" w:sz="6" w:space="0" w:color="000000"/>
              <w:right w:val="single" w:sz="6" w:space="0" w:color="000000"/>
            </w:tcBorders>
            <w:hideMark/>
          </w:tcPr>
          <w:p w14:paraId="59E4F841" w14:textId="77777777" w:rsidR="002943DC" w:rsidRPr="002943DC" w:rsidRDefault="00F7693B">
            <w:pPr>
              <w:spacing w:before="100" w:beforeAutospacing="1"/>
              <w:ind w:left="-709" w:right="190" w:firstLine="851"/>
              <w:jc w:val="center"/>
              <w:rPr>
                <w:rFonts w:ascii="Times New Roman" w:eastAsia="Georgia" w:hAnsi="Times New Roman" w:cs="Times New Roman"/>
                <w:bCs/>
                <w:w w:val="105"/>
                <w:sz w:val="24"/>
                <w:szCs w:val="24"/>
              </w:rPr>
            </w:pPr>
            <w:r>
              <w:rPr>
                <w:rFonts w:ascii="Times New Roman" w:eastAsia="Georgia" w:hAnsi="Times New Roman" w:cs="Times New Roman"/>
                <w:bCs/>
                <w:w w:val="105"/>
                <w:sz w:val="24"/>
                <w:szCs w:val="24"/>
              </w:rPr>
              <w:t>37.36</w:t>
            </w:r>
          </w:p>
        </w:tc>
      </w:tr>
    </w:tbl>
    <w:p w14:paraId="6D446BE6" w14:textId="77777777" w:rsidR="002943DC" w:rsidRDefault="002943DC" w:rsidP="002943DC">
      <w:pPr>
        <w:pStyle w:val="BodyText"/>
        <w:spacing w:before="41"/>
        <w:rPr>
          <w:rFonts w:ascii="Times New Roman" w:hAnsi="Times New Roman" w:cs="Times New Roman"/>
        </w:rPr>
      </w:pPr>
    </w:p>
    <w:p w14:paraId="55A6F58A" w14:textId="77777777" w:rsidR="0009067D" w:rsidRPr="002943DC" w:rsidRDefault="0009067D" w:rsidP="002943DC">
      <w:pPr>
        <w:pStyle w:val="BodyText"/>
        <w:spacing w:before="41"/>
        <w:rPr>
          <w:rFonts w:ascii="Times New Roman" w:hAnsi="Times New Roman" w:cs="Times New Roman"/>
        </w:rPr>
      </w:pPr>
    </w:p>
    <w:p w14:paraId="10790589" w14:textId="77777777" w:rsidR="001A36C3" w:rsidRDefault="001A36C3" w:rsidP="002943DC">
      <w:pPr>
        <w:pStyle w:val="Heading1"/>
        <w:jc w:val="left"/>
        <w:rPr>
          <w:rFonts w:ascii="Times New Roman" w:hAnsi="Times New Roman" w:cs="Times New Roman"/>
        </w:rPr>
      </w:pPr>
    </w:p>
    <w:p w14:paraId="69D9C4F3" w14:textId="77777777" w:rsidR="001A36C3" w:rsidRDefault="001A36C3" w:rsidP="002943DC">
      <w:pPr>
        <w:pStyle w:val="Heading1"/>
        <w:jc w:val="left"/>
        <w:rPr>
          <w:rFonts w:ascii="Times New Roman" w:hAnsi="Times New Roman" w:cs="Times New Roman"/>
        </w:rPr>
      </w:pPr>
    </w:p>
    <w:p w14:paraId="74EC4286" w14:textId="6BC9FF71" w:rsidR="002943DC" w:rsidRPr="002943DC" w:rsidRDefault="007A72F3" w:rsidP="002943DC">
      <w:pPr>
        <w:pStyle w:val="Heading1"/>
        <w:jc w:val="left"/>
        <w:rPr>
          <w:rFonts w:ascii="Times New Roman" w:hAnsi="Times New Roman" w:cs="Times New Roman"/>
          <w:spacing w:val="-2"/>
        </w:rPr>
      </w:pPr>
      <w:r>
        <w:rPr>
          <w:rFonts w:ascii="Times New Roman" w:hAnsi="Times New Roman" w:cs="Times New Roman"/>
        </w:rPr>
        <w:t>H</w:t>
      </w:r>
      <w:r w:rsidR="002943DC" w:rsidRPr="002943DC">
        <w:rPr>
          <w:rFonts w:ascii="Times New Roman" w:hAnsi="Times New Roman" w:cs="Times New Roman"/>
        </w:rPr>
        <w:t xml:space="preserve">. </w:t>
      </w:r>
      <w:r w:rsidR="002943DC" w:rsidRPr="002943DC">
        <w:rPr>
          <w:rFonts w:ascii="Times New Roman" w:hAnsi="Times New Roman" w:cs="Times New Roman"/>
          <w:u w:val="single"/>
        </w:rPr>
        <w:t>Cultural</w:t>
      </w:r>
      <w:r w:rsidR="00C22C5B">
        <w:rPr>
          <w:rFonts w:ascii="Times New Roman" w:hAnsi="Times New Roman" w:cs="Times New Roman"/>
          <w:u w:val="single"/>
        </w:rPr>
        <w:t xml:space="preserve"> </w:t>
      </w:r>
      <w:r w:rsidR="002943DC" w:rsidRPr="002943DC">
        <w:rPr>
          <w:rFonts w:ascii="Times New Roman" w:hAnsi="Times New Roman" w:cs="Times New Roman"/>
          <w:spacing w:val="-2"/>
          <w:u w:val="single"/>
        </w:rPr>
        <w:t>Relations</w:t>
      </w:r>
    </w:p>
    <w:p w14:paraId="26C10525" w14:textId="77777777" w:rsidR="002943DC" w:rsidRPr="002943DC" w:rsidRDefault="002943DC" w:rsidP="002943DC">
      <w:pPr>
        <w:pStyle w:val="Heading1"/>
        <w:jc w:val="left"/>
        <w:rPr>
          <w:rFonts w:ascii="Times New Roman" w:hAnsi="Times New Roman" w:cs="Times New Roman"/>
        </w:rPr>
      </w:pPr>
    </w:p>
    <w:p w14:paraId="13CD5571" w14:textId="546940FD" w:rsidR="002943DC" w:rsidRPr="002943DC" w:rsidRDefault="001E4028" w:rsidP="007E7913">
      <w:pPr>
        <w:pStyle w:val="BodyText"/>
        <w:spacing w:before="71" w:line="276" w:lineRule="auto"/>
        <w:ind w:left="52" w:right="51"/>
        <w:jc w:val="both"/>
        <w:rPr>
          <w:rFonts w:ascii="Times New Roman" w:hAnsi="Times New Roman" w:cs="Times New Roman"/>
        </w:rPr>
      </w:pPr>
      <w:r w:rsidRPr="001E4028">
        <w:rPr>
          <w:rFonts w:ascii="Times New Roman" w:hAnsi="Times New Roman" w:cs="Times New Roman"/>
        </w:rPr>
        <w:t>UAE has over 3.5 million Indians and Emiratis are quite familiar and sensitive to Indian</w:t>
      </w:r>
      <w:r w:rsidR="007E7913">
        <w:rPr>
          <w:rFonts w:ascii="Times New Roman" w:hAnsi="Times New Roman" w:cs="Times New Roman"/>
        </w:rPr>
        <w:t xml:space="preserve"> </w:t>
      </w:r>
      <w:r w:rsidRPr="001E4028">
        <w:rPr>
          <w:rFonts w:ascii="Times New Roman" w:hAnsi="Times New Roman" w:cs="Times New Roman"/>
        </w:rPr>
        <w:t>culture.</w:t>
      </w:r>
      <w:r w:rsidR="007E7913">
        <w:rPr>
          <w:rFonts w:ascii="Times New Roman" w:hAnsi="Times New Roman" w:cs="Times New Roman"/>
        </w:rPr>
        <w:t xml:space="preserve"> </w:t>
      </w:r>
      <w:r w:rsidRPr="001E4028">
        <w:rPr>
          <w:rFonts w:ascii="Times New Roman" w:hAnsi="Times New Roman" w:cs="Times New Roman"/>
        </w:rPr>
        <w:t>Indian cinema, TV, and radio channels are easily avai</w:t>
      </w:r>
      <w:r>
        <w:rPr>
          <w:rFonts w:ascii="Times New Roman" w:hAnsi="Times New Roman" w:cs="Times New Roman"/>
        </w:rPr>
        <w:t xml:space="preserve">lable and have good viewership; </w:t>
      </w:r>
      <w:r w:rsidRPr="001E4028">
        <w:rPr>
          <w:rFonts w:ascii="Times New Roman" w:hAnsi="Times New Roman" w:cs="Times New Roman"/>
        </w:rPr>
        <w:t>major theatres and cinema halls in the UAE screen commercial Hindi, Malayalam, Telugu and</w:t>
      </w:r>
      <w:r>
        <w:rPr>
          <w:rFonts w:ascii="Times New Roman" w:hAnsi="Times New Roman" w:cs="Times New Roman"/>
        </w:rPr>
        <w:t xml:space="preserve"> </w:t>
      </w:r>
      <w:r w:rsidRPr="001E4028">
        <w:rPr>
          <w:rFonts w:ascii="Times New Roman" w:hAnsi="Times New Roman" w:cs="Times New Roman"/>
        </w:rPr>
        <w:t>Tamil films. The Emirati community also takes part in celebrations</w:t>
      </w:r>
      <w:r>
        <w:rPr>
          <w:rFonts w:ascii="Times New Roman" w:hAnsi="Times New Roman" w:cs="Times New Roman"/>
        </w:rPr>
        <w:t xml:space="preserve"> of International Day of Yoga </w:t>
      </w:r>
      <w:r w:rsidRPr="001E4028">
        <w:rPr>
          <w:rFonts w:ascii="Times New Roman" w:hAnsi="Times New Roman" w:cs="Times New Roman"/>
        </w:rPr>
        <w:t>events and various institutions and studios of yoga &amp; meditation are r</w:t>
      </w:r>
      <w:r>
        <w:rPr>
          <w:rFonts w:ascii="Times New Roman" w:hAnsi="Times New Roman" w:cs="Times New Roman"/>
        </w:rPr>
        <w:t xml:space="preserve">unning successfully in the </w:t>
      </w:r>
      <w:r w:rsidRPr="001E4028">
        <w:rPr>
          <w:rFonts w:ascii="Times New Roman" w:hAnsi="Times New Roman" w:cs="Times New Roman"/>
        </w:rPr>
        <w:t>UAE. Abu Dhabi Sports Council (ADSC) and the UAE Ministry</w:t>
      </w:r>
      <w:r>
        <w:rPr>
          <w:rFonts w:ascii="Times New Roman" w:hAnsi="Times New Roman" w:cs="Times New Roman"/>
        </w:rPr>
        <w:t xml:space="preserve"> of Tolerance &amp; Coexistence are </w:t>
      </w:r>
      <w:r w:rsidRPr="001E4028">
        <w:rPr>
          <w:rFonts w:ascii="Times New Roman" w:hAnsi="Times New Roman" w:cs="Times New Roman"/>
        </w:rPr>
        <w:t>actively involved in promoting collective community events and</w:t>
      </w:r>
      <w:r>
        <w:rPr>
          <w:rFonts w:ascii="Times New Roman" w:hAnsi="Times New Roman" w:cs="Times New Roman"/>
        </w:rPr>
        <w:t xml:space="preserve"> encourage participation of the </w:t>
      </w:r>
      <w:r w:rsidRPr="001E4028">
        <w:rPr>
          <w:rFonts w:ascii="Times New Roman" w:hAnsi="Times New Roman" w:cs="Times New Roman"/>
        </w:rPr>
        <w:t>Indian diaspora in sports, fitness, and cultur</w:t>
      </w:r>
      <w:r>
        <w:rPr>
          <w:rFonts w:ascii="Times New Roman" w:hAnsi="Times New Roman" w:cs="Times New Roman"/>
        </w:rPr>
        <w:t xml:space="preserve">al </w:t>
      </w:r>
      <w:r w:rsidRPr="001E4028">
        <w:rPr>
          <w:rFonts w:ascii="Times New Roman" w:hAnsi="Times New Roman" w:cs="Times New Roman"/>
        </w:rPr>
        <w:t>activities.</w:t>
      </w:r>
      <w:r w:rsidR="007E7913">
        <w:rPr>
          <w:rFonts w:ascii="Times New Roman" w:hAnsi="Times New Roman" w:cs="Times New Roman"/>
        </w:rPr>
        <w:t xml:space="preserve"> </w:t>
      </w:r>
      <w:r w:rsidRPr="001E4028">
        <w:rPr>
          <w:rFonts w:ascii="Times New Roman" w:hAnsi="Times New Roman" w:cs="Times New Roman"/>
        </w:rPr>
        <w:t>On 01 September 2022, on the margins of the 14th Joint Commission Meeting, an MoU</w:t>
      </w:r>
      <w:r w:rsidR="007E7913">
        <w:rPr>
          <w:rFonts w:ascii="Times New Roman" w:hAnsi="Times New Roman" w:cs="Times New Roman"/>
        </w:rPr>
        <w:t xml:space="preserve"> </w:t>
      </w:r>
      <w:r w:rsidRPr="001E4028">
        <w:rPr>
          <w:rFonts w:ascii="Times New Roman" w:hAnsi="Times New Roman" w:cs="Times New Roman"/>
        </w:rPr>
        <w:t xml:space="preserve">was signed to set up the India-UAE Cultural Council Forum that </w:t>
      </w:r>
      <w:r>
        <w:rPr>
          <w:rFonts w:ascii="Times New Roman" w:hAnsi="Times New Roman" w:cs="Times New Roman"/>
        </w:rPr>
        <w:t xml:space="preserve">will facilitate deeper Cultural </w:t>
      </w:r>
      <w:r w:rsidRPr="001E4028">
        <w:rPr>
          <w:rFonts w:ascii="Times New Roman" w:hAnsi="Times New Roman" w:cs="Times New Roman"/>
        </w:rPr>
        <w:t>Cooperation and People to People interactions between the two countries.</w:t>
      </w:r>
    </w:p>
    <w:p w14:paraId="475391C3" w14:textId="77777777" w:rsidR="002943DC" w:rsidRPr="002943DC" w:rsidRDefault="002943DC" w:rsidP="002943DC">
      <w:pPr>
        <w:pStyle w:val="Heading1"/>
        <w:rPr>
          <w:rFonts w:ascii="Times New Roman" w:hAnsi="Times New Roman" w:cs="Times New Roman"/>
        </w:rPr>
      </w:pPr>
    </w:p>
    <w:p w14:paraId="6C0BCB24" w14:textId="4C4D892D" w:rsidR="002943DC" w:rsidRPr="002943DC" w:rsidRDefault="007A72F3" w:rsidP="002943DC">
      <w:pPr>
        <w:pStyle w:val="Heading1"/>
        <w:rPr>
          <w:rFonts w:ascii="Times New Roman" w:hAnsi="Times New Roman" w:cs="Times New Roman"/>
        </w:rPr>
      </w:pPr>
      <w:r>
        <w:rPr>
          <w:rFonts w:ascii="Times New Roman" w:hAnsi="Times New Roman" w:cs="Times New Roman"/>
        </w:rPr>
        <w:t>I</w:t>
      </w:r>
      <w:r w:rsidR="002943DC" w:rsidRPr="002943DC">
        <w:rPr>
          <w:rFonts w:ascii="Times New Roman" w:hAnsi="Times New Roman" w:cs="Times New Roman"/>
        </w:rPr>
        <w:t xml:space="preserve">. </w:t>
      </w:r>
      <w:r w:rsidR="002943DC" w:rsidRPr="002943DC">
        <w:rPr>
          <w:rFonts w:ascii="Times New Roman" w:hAnsi="Times New Roman" w:cs="Times New Roman"/>
          <w:u w:val="single"/>
        </w:rPr>
        <w:t>Indian</w:t>
      </w:r>
      <w:r w:rsidR="00891452">
        <w:rPr>
          <w:rFonts w:ascii="Times New Roman" w:hAnsi="Times New Roman" w:cs="Times New Roman"/>
          <w:u w:val="single"/>
        </w:rPr>
        <w:t xml:space="preserve"> </w:t>
      </w:r>
      <w:r w:rsidR="002943DC" w:rsidRPr="002943DC">
        <w:rPr>
          <w:rFonts w:ascii="Times New Roman" w:hAnsi="Times New Roman" w:cs="Times New Roman"/>
          <w:spacing w:val="-2"/>
          <w:u w:val="single"/>
        </w:rPr>
        <w:t>Community</w:t>
      </w:r>
    </w:p>
    <w:p w14:paraId="1B7D1419" w14:textId="77777777" w:rsidR="002943DC" w:rsidRPr="002943DC" w:rsidRDefault="002943DC" w:rsidP="002943DC">
      <w:pPr>
        <w:pStyle w:val="BodyText"/>
        <w:spacing w:before="82"/>
        <w:rPr>
          <w:rFonts w:ascii="Times New Roman" w:hAnsi="Times New Roman" w:cs="Times New Roman"/>
          <w:b/>
        </w:rPr>
      </w:pPr>
    </w:p>
    <w:p w14:paraId="1823CF3E" w14:textId="5E63DD3F" w:rsidR="007A72F3" w:rsidRPr="00F950F3" w:rsidRDefault="00CC007D" w:rsidP="007A72F3">
      <w:pPr>
        <w:jc w:val="both"/>
        <w:rPr>
          <w:rFonts w:ascii="Times New Roman" w:hAnsi="Times New Roman" w:cs="Times New Roman"/>
          <w:sz w:val="24"/>
          <w:szCs w:val="24"/>
        </w:rPr>
      </w:pPr>
      <w:r>
        <w:rPr>
          <w:rFonts w:ascii="Times New Roman" w:hAnsi="Times New Roman" w:cs="Times New Roman"/>
          <w:sz w:val="24"/>
          <w:szCs w:val="24"/>
        </w:rPr>
        <w:t xml:space="preserve"> </w:t>
      </w:r>
      <w:r w:rsidR="007A72F3" w:rsidRPr="007A72F3">
        <w:rPr>
          <w:rFonts w:ascii="Times New Roman" w:hAnsi="Times New Roman" w:cs="Times New Roman"/>
          <w:sz w:val="24"/>
          <w:szCs w:val="24"/>
        </w:rPr>
        <w:t>The Indian expatriate community of approximately 3.</w:t>
      </w:r>
      <w:r w:rsidR="007A72F3">
        <w:rPr>
          <w:rFonts w:ascii="Times New Roman" w:hAnsi="Times New Roman" w:cs="Times New Roman"/>
          <w:sz w:val="24"/>
          <w:szCs w:val="24"/>
        </w:rPr>
        <w:t xml:space="preserve">5 million is the largest ethnic </w:t>
      </w:r>
      <w:r w:rsidR="007A72F3" w:rsidRPr="007A72F3">
        <w:rPr>
          <w:rFonts w:ascii="Times New Roman" w:hAnsi="Times New Roman" w:cs="Times New Roman"/>
          <w:sz w:val="24"/>
          <w:szCs w:val="24"/>
        </w:rPr>
        <w:t>community in UAE constituting roughly about 35 percent of t</w:t>
      </w:r>
      <w:r w:rsidR="007A72F3">
        <w:rPr>
          <w:rFonts w:ascii="Times New Roman" w:hAnsi="Times New Roman" w:cs="Times New Roman"/>
          <w:sz w:val="24"/>
          <w:szCs w:val="24"/>
        </w:rPr>
        <w:t xml:space="preserve">he country’s population. 15% of </w:t>
      </w:r>
      <w:r w:rsidR="007A72F3" w:rsidRPr="007A72F3">
        <w:rPr>
          <w:rFonts w:ascii="Times New Roman" w:hAnsi="Times New Roman" w:cs="Times New Roman"/>
          <w:sz w:val="24"/>
          <w:szCs w:val="24"/>
        </w:rPr>
        <w:t xml:space="preserve">the diaspora </w:t>
      </w:r>
      <w:r w:rsidR="00624FA8">
        <w:rPr>
          <w:rFonts w:ascii="Times New Roman" w:hAnsi="Times New Roman" w:cs="Times New Roman"/>
          <w:sz w:val="24"/>
          <w:szCs w:val="24"/>
        </w:rPr>
        <w:t>are</w:t>
      </w:r>
      <w:r w:rsidR="007A72F3" w:rsidRPr="007A72F3">
        <w:rPr>
          <w:rFonts w:ascii="Times New Roman" w:hAnsi="Times New Roman" w:cs="Times New Roman"/>
          <w:sz w:val="24"/>
          <w:szCs w:val="24"/>
        </w:rPr>
        <w:t xml:space="preserve"> in the Emirate of Abu Dhabi and the rest in 6 Northern Emirates including </w:t>
      </w:r>
      <w:r w:rsidR="007A72F3" w:rsidRPr="007A72F3">
        <w:rPr>
          <w:rFonts w:ascii="Times New Roman" w:hAnsi="Times New Roman" w:cs="Times New Roman"/>
          <w:sz w:val="24"/>
          <w:szCs w:val="24"/>
        </w:rPr>
        <w:lastRenderedPageBreak/>
        <w:t>Dubai.</w:t>
      </w:r>
      <w:r w:rsidR="00F950F3">
        <w:rPr>
          <w:rFonts w:ascii="Times New Roman" w:hAnsi="Times New Roman" w:cs="Times New Roman"/>
          <w:sz w:val="24"/>
          <w:szCs w:val="24"/>
        </w:rPr>
        <w:t xml:space="preserve"> </w:t>
      </w:r>
      <w:r w:rsidR="007A72F3" w:rsidRPr="007A72F3">
        <w:rPr>
          <w:rFonts w:ascii="Times New Roman" w:hAnsi="Times New Roman" w:cs="Times New Roman"/>
          <w:sz w:val="24"/>
          <w:szCs w:val="24"/>
        </w:rPr>
        <w:t>The profile of the community has changed from the 1970s and 1980s, when the majority</w:t>
      </w:r>
      <w:r w:rsidR="007A72F3">
        <w:rPr>
          <w:rFonts w:ascii="Times New Roman" w:hAnsi="Times New Roman" w:cs="Times New Roman"/>
          <w:sz w:val="24"/>
          <w:szCs w:val="24"/>
        </w:rPr>
        <w:t xml:space="preserve"> </w:t>
      </w:r>
      <w:r w:rsidR="007A72F3" w:rsidRPr="007A72F3">
        <w:rPr>
          <w:rFonts w:ascii="Times New Roman" w:hAnsi="Times New Roman" w:cs="Times New Roman"/>
          <w:sz w:val="24"/>
          <w:szCs w:val="24"/>
        </w:rPr>
        <w:t>of the Indian community w</w:t>
      </w:r>
      <w:r w:rsidR="0036572D">
        <w:rPr>
          <w:rFonts w:ascii="Times New Roman" w:hAnsi="Times New Roman" w:cs="Times New Roman"/>
          <w:sz w:val="24"/>
          <w:szCs w:val="24"/>
        </w:rPr>
        <w:t>ere</w:t>
      </w:r>
      <w:r w:rsidR="007A72F3" w:rsidRPr="007A72F3">
        <w:rPr>
          <w:rFonts w:ascii="Times New Roman" w:hAnsi="Times New Roman" w:cs="Times New Roman"/>
          <w:sz w:val="24"/>
          <w:szCs w:val="24"/>
        </w:rPr>
        <w:t xml:space="preserve"> blue-collared to the extent of </w:t>
      </w:r>
      <w:r w:rsidR="007A72F3">
        <w:rPr>
          <w:rFonts w:ascii="Times New Roman" w:hAnsi="Times New Roman" w:cs="Times New Roman"/>
          <w:sz w:val="24"/>
          <w:szCs w:val="24"/>
        </w:rPr>
        <w:t xml:space="preserve">85%-90%. Today, around 35% of </w:t>
      </w:r>
      <w:r w:rsidR="007A72F3" w:rsidRPr="007A72F3">
        <w:rPr>
          <w:rFonts w:ascii="Times New Roman" w:hAnsi="Times New Roman" w:cs="Times New Roman"/>
          <w:sz w:val="24"/>
          <w:szCs w:val="24"/>
        </w:rPr>
        <w:t xml:space="preserve">the Indian community </w:t>
      </w:r>
      <w:r w:rsidR="0036572D">
        <w:rPr>
          <w:rFonts w:ascii="Times New Roman" w:hAnsi="Times New Roman" w:cs="Times New Roman"/>
          <w:sz w:val="24"/>
          <w:szCs w:val="24"/>
        </w:rPr>
        <w:t>are</w:t>
      </w:r>
      <w:r w:rsidR="007A72F3" w:rsidRPr="007A72F3">
        <w:rPr>
          <w:rFonts w:ascii="Times New Roman" w:hAnsi="Times New Roman" w:cs="Times New Roman"/>
          <w:sz w:val="24"/>
          <w:szCs w:val="24"/>
        </w:rPr>
        <w:t xml:space="preserve"> made up of professionally qualified</w:t>
      </w:r>
      <w:r w:rsidR="007A72F3">
        <w:rPr>
          <w:rFonts w:ascii="Times New Roman" w:hAnsi="Times New Roman" w:cs="Times New Roman"/>
          <w:sz w:val="24"/>
          <w:szCs w:val="24"/>
        </w:rPr>
        <w:t xml:space="preserve"> personnel, businessmen &amp; other </w:t>
      </w:r>
      <w:r w:rsidR="007A72F3" w:rsidRPr="007A72F3">
        <w:rPr>
          <w:rFonts w:ascii="Times New Roman" w:hAnsi="Times New Roman" w:cs="Times New Roman"/>
          <w:sz w:val="24"/>
          <w:szCs w:val="24"/>
        </w:rPr>
        <w:t>white collar non-professionals. 10% of the total Indians const</w:t>
      </w:r>
      <w:r w:rsidR="007A72F3">
        <w:rPr>
          <w:rFonts w:ascii="Times New Roman" w:hAnsi="Times New Roman" w:cs="Times New Roman"/>
          <w:sz w:val="24"/>
          <w:szCs w:val="24"/>
        </w:rPr>
        <w:t xml:space="preserve">itute dependent family members. </w:t>
      </w:r>
      <w:r w:rsidR="007A72F3" w:rsidRPr="007A72F3">
        <w:rPr>
          <w:rFonts w:ascii="Times New Roman" w:hAnsi="Times New Roman" w:cs="Times New Roman"/>
          <w:sz w:val="24"/>
          <w:szCs w:val="24"/>
        </w:rPr>
        <w:t>The Indian community has played a major role in the economic development of the UAE and is</w:t>
      </w:r>
      <w:r w:rsidR="007A72F3">
        <w:rPr>
          <w:rFonts w:ascii="Times New Roman" w:hAnsi="Times New Roman" w:cs="Times New Roman"/>
          <w:sz w:val="24"/>
          <w:szCs w:val="24"/>
        </w:rPr>
        <w:t xml:space="preserve"> </w:t>
      </w:r>
      <w:r w:rsidR="007A72F3" w:rsidRPr="007A72F3">
        <w:rPr>
          <w:rFonts w:ascii="Times New Roman" w:hAnsi="Times New Roman" w:cs="Times New Roman"/>
          <w:sz w:val="24"/>
          <w:szCs w:val="24"/>
        </w:rPr>
        <w:t xml:space="preserve">respected for its technical competence, sense of discipline &amp; law </w:t>
      </w:r>
      <w:r w:rsidR="00F950F3">
        <w:rPr>
          <w:rFonts w:ascii="Times New Roman" w:hAnsi="Times New Roman" w:cs="Times New Roman"/>
          <w:sz w:val="24"/>
          <w:szCs w:val="24"/>
        </w:rPr>
        <w:t xml:space="preserve"> </w:t>
      </w:r>
      <w:r w:rsidR="0036572D">
        <w:rPr>
          <w:rFonts w:ascii="Times New Roman" w:hAnsi="Times New Roman" w:cs="Times New Roman"/>
          <w:sz w:val="24"/>
          <w:szCs w:val="24"/>
        </w:rPr>
        <w:t>a</w:t>
      </w:r>
      <w:r w:rsidR="007A72F3" w:rsidRPr="007A72F3">
        <w:rPr>
          <w:rFonts w:ascii="Times New Roman" w:hAnsi="Times New Roman" w:cs="Times New Roman"/>
          <w:sz w:val="24"/>
          <w:szCs w:val="24"/>
        </w:rPr>
        <w:t>biding nature.</w:t>
      </w:r>
      <w:r w:rsidR="00F950F3">
        <w:rPr>
          <w:rFonts w:ascii="Times New Roman" w:hAnsi="Times New Roman" w:cs="Times New Roman"/>
          <w:b/>
          <w:bCs/>
          <w:i/>
          <w:iCs/>
          <w:sz w:val="28"/>
          <w:szCs w:val="28"/>
        </w:rPr>
        <w:t xml:space="preserve"> </w:t>
      </w:r>
      <w:r w:rsidR="007A72F3" w:rsidRPr="007A72F3">
        <w:rPr>
          <w:rFonts w:ascii="Times New Roman" w:hAnsi="Times New Roman" w:cs="Times New Roman"/>
          <w:bCs/>
          <w:iCs/>
          <w:sz w:val="24"/>
          <w:szCs w:val="24"/>
        </w:rPr>
        <w:t>Along with the Community Affairs Wing of the Embassy, Pravasi Bhartiya Sahayata</w:t>
      </w:r>
      <w:r w:rsidR="00F950F3">
        <w:rPr>
          <w:rFonts w:ascii="Times New Roman" w:hAnsi="Times New Roman" w:cs="Times New Roman"/>
          <w:sz w:val="24"/>
          <w:szCs w:val="24"/>
        </w:rPr>
        <w:t xml:space="preserve"> </w:t>
      </w:r>
      <w:r w:rsidR="007A72F3" w:rsidRPr="007A72F3">
        <w:rPr>
          <w:rFonts w:ascii="Times New Roman" w:hAnsi="Times New Roman" w:cs="Times New Roman"/>
          <w:bCs/>
          <w:iCs/>
          <w:sz w:val="24"/>
          <w:szCs w:val="24"/>
        </w:rPr>
        <w:t>Kendra (PBSK) based in the Consulate in Dubai has been functioning to assist the Indian</w:t>
      </w:r>
      <w:r w:rsidR="00F950F3">
        <w:rPr>
          <w:rFonts w:ascii="Times New Roman" w:hAnsi="Times New Roman" w:cs="Times New Roman"/>
          <w:sz w:val="24"/>
          <w:szCs w:val="24"/>
        </w:rPr>
        <w:t xml:space="preserve"> </w:t>
      </w:r>
      <w:r w:rsidR="007A72F3" w:rsidRPr="007A72F3">
        <w:rPr>
          <w:rFonts w:ascii="Times New Roman" w:hAnsi="Times New Roman" w:cs="Times New Roman"/>
          <w:bCs/>
          <w:iCs/>
          <w:sz w:val="24"/>
          <w:szCs w:val="24"/>
        </w:rPr>
        <w:t>diaspora through 24×7 helplines and a PBSK Mobile App.</w:t>
      </w:r>
    </w:p>
    <w:p w14:paraId="30D234D2" w14:textId="77777777" w:rsidR="007A72F3" w:rsidRPr="007A72F3" w:rsidRDefault="007A72F3" w:rsidP="007A72F3">
      <w:pPr>
        <w:jc w:val="both"/>
        <w:rPr>
          <w:rFonts w:ascii="Times New Roman" w:hAnsi="Times New Roman" w:cs="Times New Roman"/>
          <w:bCs/>
          <w:iCs/>
          <w:sz w:val="24"/>
          <w:szCs w:val="24"/>
        </w:rPr>
      </w:pPr>
    </w:p>
    <w:p w14:paraId="0B413814" w14:textId="77777777" w:rsidR="002943DC" w:rsidRPr="007A72F3" w:rsidRDefault="002943DC" w:rsidP="007A72F3">
      <w:pPr>
        <w:rPr>
          <w:rFonts w:ascii="Times New Roman" w:hAnsi="Times New Roman" w:cs="Times New Roman"/>
          <w:sz w:val="24"/>
          <w:szCs w:val="24"/>
        </w:rPr>
      </w:pPr>
      <w:r w:rsidRPr="002943DC">
        <w:rPr>
          <w:rFonts w:ascii="Times New Roman" w:hAnsi="Times New Roman" w:cs="Times New Roman"/>
          <w:b/>
          <w:bCs/>
          <w:i/>
          <w:iCs/>
          <w:sz w:val="28"/>
          <w:szCs w:val="28"/>
        </w:rPr>
        <w:t xml:space="preserve">Source: </w:t>
      </w:r>
      <w:hyperlink r:id="rId23" w:history="1">
        <w:r w:rsidRPr="002943DC">
          <w:rPr>
            <w:rStyle w:val="Hyperlink"/>
            <w:rFonts w:ascii="Times New Roman" w:hAnsi="Times New Roman" w:cs="Times New Roman"/>
            <w:i/>
            <w:iCs/>
            <w:sz w:val="28"/>
            <w:szCs w:val="28"/>
          </w:rPr>
          <w:t>www.mea.gov.in</w:t>
        </w:r>
      </w:hyperlink>
    </w:p>
    <w:p w14:paraId="60111E4C" w14:textId="77777777" w:rsidR="00D05EA8" w:rsidRPr="002943DC" w:rsidRDefault="00D05EA8">
      <w:pPr>
        <w:rPr>
          <w:rFonts w:ascii="Times New Roman" w:hAnsi="Times New Roman" w:cs="Times New Roman"/>
        </w:rPr>
      </w:pPr>
    </w:p>
    <w:sectPr w:rsidR="00D05EA8" w:rsidRPr="002943DC" w:rsidSect="00257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altName w:val="Iskoola Pota"/>
    <w:panose1 w:val="020B0502040204020203"/>
    <w:charset w:val="00"/>
    <w:family w:val="swiss"/>
    <w:pitch w:val="variable"/>
    <w:sig w:usb0="80FF8023" w:usb1="0200004A" w:usb2="000002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4245"/>
    <w:rsid w:val="0009067D"/>
    <w:rsid w:val="00097645"/>
    <w:rsid w:val="0012283C"/>
    <w:rsid w:val="001574B4"/>
    <w:rsid w:val="00161E5B"/>
    <w:rsid w:val="00193D95"/>
    <w:rsid w:val="001A36C3"/>
    <w:rsid w:val="001C2CF7"/>
    <w:rsid w:val="001E4028"/>
    <w:rsid w:val="002141D6"/>
    <w:rsid w:val="00215B93"/>
    <w:rsid w:val="00235001"/>
    <w:rsid w:val="00257DFF"/>
    <w:rsid w:val="00292E4E"/>
    <w:rsid w:val="002943DC"/>
    <w:rsid w:val="002A6052"/>
    <w:rsid w:val="002F0A90"/>
    <w:rsid w:val="00364D90"/>
    <w:rsid w:val="0036572D"/>
    <w:rsid w:val="003B51FC"/>
    <w:rsid w:val="003B58CF"/>
    <w:rsid w:val="004455EB"/>
    <w:rsid w:val="0047285C"/>
    <w:rsid w:val="004D09FE"/>
    <w:rsid w:val="004D2418"/>
    <w:rsid w:val="0054393D"/>
    <w:rsid w:val="005C0757"/>
    <w:rsid w:val="005C0BE2"/>
    <w:rsid w:val="00624FA8"/>
    <w:rsid w:val="00664E6A"/>
    <w:rsid w:val="00674245"/>
    <w:rsid w:val="006B66F1"/>
    <w:rsid w:val="006E63BE"/>
    <w:rsid w:val="006F4D5B"/>
    <w:rsid w:val="00705ACE"/>
    <w:rsid w:val="00725D39"/>
    <w:rsid w:val="007A72F3"/>
    <w:rsid w:val="007E7913"/>
    <w:rsid w:val="008037BD"/>
    <w:rsid w:val="00810A25"/>
    <w:rsid w:val="00860F38"/>
    <w:rsid w:val="00891452"/>
    <w:rsid w:val="00994D21"/>
    <w:rsid w:val="00A365C6"/>
    <w:rsid w:val="00AA638B"/>
    <w:rsid w:val="00B964BA"/>
    <w:rsid w:val="00C22C5B"/>
    <w:rsid w:val="00C3336B"/>
    <w:rsid w:val="00C84923"/>
    <w:rsid w:val="00CA515A"/>
    <w:rsid w:val="00CC007D"/>
    <w:rsid w:val="00D05EA8"/>
    <w:rsid w:val="00D0744F"/>
    <w:rsid w:val="00D236D7"/>
    <w:rsid w:val="00DE5D15"/>
    <w:rsid w:val="00F529B0"/>
    <w:rsid w:val="00F57DC1"/>
    <w:rsid w:val="00F7693B"/>
    <w:rsid w:val="00F950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1933"/>
  <w15:docId w15:val="{27C58451-3A49-4010-8325-6796D5CD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43DC"/>
    <w:pPr>
      <w:widowControl w:val="0"/>
      <w:autoSpaceDE w:val="0"/>
      <w:autoSpaceDN w:val="0"/>
      <w:spacing w:after="0" w:line="240" w:lineRule="auto"/>
    </w:pPr>
    <w:rPr>
      <w:rFonts w:ascii="Arial MT" w:eastAsia="Arial MT" w:hAnsi="Arial MT" w:cs="Arial MT"/>
      <w:szCs w:val="22"/>
      <w:lang w:val="en-US" w:bidi="ar-SA"/>
    </w:rPr>
  </w:style>
  <w:style w:type="paragraph" w:styleId="Heading1">
    <w:name w:val="heading 1"/>
    <w:basedOn w:val="Normal"/>
    <w:link w:val="Heading1Char"/>
    <w:uiPriority w:val="1"/>
    <w:qFormat/>
    <w:rsid w:val="002943DC"/>
    <w:pPr>
      <w:ind w:left="52"/>
      <w:jc w:val="both"/>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2350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43DC"/>
    <w:rPr>
      <w:rFonts w:ascii="Arial" w:eastAsia="Arial" w:hAnsi="Arial" w:cs="Arial"/>
      <w:b/>
      <w:bCs/>
      <w:sz w:val="24"/>
      <w:szCs w:val="24"/>
      <w:lang w:val="en-US" w:bidi="ar-SA"/>
    </w:rPr>
  </w:style>
  <w:style w:type="character" w:styleId="Hyperlink">
    <w:name w:val="Hyperlink"/>
    <w:basedOn w:val="DefaultParagraphFont"/>
    <w:uiPriority w:val="99"/>
    <w:semiHidden/>
    <w:unhideWhenUsed/>
    <w:rsid w:val="002943DC"/>
    <w:rPr>
      <w:color w:val="0000FF"/>
      <w:u w:val="single"/>
    </w:rPr>
  </w:style>
  <w:style w:type="paragraph" w:styleId="NormalWeb">
    <w:name w:val="Normal (Web)"/>
    <w:basedOn w:val="Normal"/>
    <w:uiPriority w:val="99"/>
    <w:semiHidden/>
    <w:unhideWhenUsed/>
    <w:rsid w:val="002943D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styleId="BodyText">
    <w:name w:val="Body Text"/>
    <w:basedOn w:val="Normal"/>
    <w:link w:val="BodyTextChar"/>
    <w:uiPriority w:val="1"/>
    <w:semiHidden/>
    <w:unhideWhenUsed/>
    <w:qFormat/>
    <w:rsid w:val="002943DC"/>
    <w:rPr>
      <w:sz w:val="24"/>
      <w:szCs w:val="24"/>
    </w:rPr>
  </w:style>
  <w:style w:type="character" w:customStyle="1" w:styleId="BodyTextChar">
    <w:name w:val="Body Text Char"/>
    <w:basedOn w:val="DefaultParagraphFont"/>
    <w:link w:val="BodyText"/>
    <w:uiPriority w:val="1"/>
    <w:semiHidden/>
    <w:rsid w:val="002943DC"/>
    <w:rPr>
      <w:rFonts w:ascii="Arial MT" w:eastAsia="Arial MT" w:hAnsi="Arial MT" w:cs="Arial MT"/>
      <w:sz w:val="24"/>
      <w:szCs w:val="24"/>
      <w:lang w:val="en-US" w:bidi="ar-SA"/>
    </w:rPr>
  </w:style>
  <w:style w:type="character" w:styleId="Strong">
    <w:name w:val="Strong"/>
    <w:basedOn w:val="DefaultParagraphFont"/>
    <w:uiPriority w:val="22"/>
    <w:qFormat/>
    <w:rsid w:val="002943DC"/>
    <w:rPr>
      <w:b/>
      <w:bCs/>
    </w:rPr>
  </w:style>
  <w:style w:type="character" w:customStyle="1" w:styleId="mw-reflink-text">
    <w:name w:val="mw-reflink-text"/>
    <w:basedOn w:val="DefaultParagraphFont"/>
    <w:rsid w:val="006E63BE"/>
  </w:style>
  <w:style w:type="character" w:customStyle="1" w:styleId="cite-bracket">
    <w:name w:val="cite-bracket"/>
    <w:basedOn w:val="DefaultParagraphFont"/>
    <w:rsid w:val="006E63BE"/>
  </w:style>
  <w:style w:type="character" w:customStyle="1" w:styleId="Heading2Char">
    <w:name w:val="Heading 2 Char"/>
    <w:basedOn w:val="DefaultParagraphFont"/>
    <w:link w:val="Heading2"/>
    <w:uiPriority w:val="9"/>
    <w:rsid w:val="00235001"/>
    <w:rPr>
      <w:rFonts w:asciiTheme="majorHAnsi" w:eastAsiaTheme="majorEastAsia" w:hAnsiTheme="majorHAnsi" w:cstheme="majorBidi"/>
      <w:color w:val="2E74B5" w:themeColor="accent1" w:themeShade="BF"/>
      <w:sz w:val="26"/>
      <w:szCs w:val="26"/>
      <w:lang w:val="en-US" w:bidi="ar-SA"/>
    </w:rPr>
  </w:style>
  <w:style w:type="paragraph" w:styleId="ListParagraph">
    <w:name w:val="List Paragraph"/>
    <w:basedOn w:val="Normal"/>
    <w:uiPriority w:val="34"/>
    <w:qFormat/>
    <w:rsid w:val="00193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0762">
      <w:bodyDiv w:val="1"/>
      <w:marLeft w:val="0"/>
      <w:marRight w:val="0"/>
      <w:marTop w:val="0"/>
      <w:marBottom w:val="0"/>
      <w:divBdr>
        <w:top w:val="none" w:sz="0" w:space="0" w:color="auto"/>
        <w:left w:val="none" w:sz="0" w:space="0" w:color="auto"/>
        <w:bottom w:val="none" w:sz="0" w:space="0" w:color="auto"/>
        <w:right w:val="none" w:sz="0" w:space="0" w:color="auto"/>
      </w:divBdr>
    </w:div>
    <w:div w:id="1100292877">
      <w:bodyDiv w:val="1"/>
      <w:marLeft w:val="0"/>
      <w:marRight w:val="0"/>
      <w:marTop w:val="0"/>
      <w:marBottom w:val="0"/>
      <w:divBdr>
        <w:top w:val="none" w:sz="0" w:space="0" w:color="auto"/>
        <w:left w:val="none" w:sz="0" w:space="0" w:color="auto"/>
        <w:bottom w:val="none" w:sz="0" w:space="0" w:color="auto"/>
        <w:right w:val="none" w:sz="0" w:space="0" w:color="auto"/>
      </w:divBdr>
    </w:div>
    <w:div w:id="1165319229">
      <w:bodyDiv w:val="1"/>
      <w:marLeft w:val="0"/>
      <w:marRight w:val="0"/>
      <w:marTop w:val="0"/>
      <w:marBottom w:val="0"/>
      <w:divBdr>
        <w:top w:val="none" w:sz="0" w:space="0" w:color="auto"/>
        <w:left w:val="none" w:sz="0" w:space="0" w:color="auto"/>
        <w:bottom w:val="none" w:sz="0" w:space="0" w:color="auto"/>
        <w:right w:val="none" w:sz="0" w:space="0" w:color="auto"/>
      </w:divBdr>
    </w:div>
    <w:div w:id="1514110262">
      <w:bodyDiv w:val="1"/>
      <w:marLeft w:val="0"/>
      <w:marRight w:val="0"/>
      <w:marTop w:val="0"/>
      <w:marBottom w:val="0"/>
      <w:divBdr>
        <w:top w:val="none" w:sz="0" w:space="0" w:color="auto"/>
        <w:left w:val="none" w:sz="0" w:space="0" w:color="auto"/>
        <w:bottom w:val="none" w:sz="0" w:space="0" w:color="auto"/>
        <w:right w:val="none" w:sz="0" w:space="0" w:color="auto"/>
      </w:divBdr>
    </w:div>
    <w:div w:id="21169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ed_Arab_Emirates" TargetMode="External"/><Relationship Id="rId13" Type="http://schemas.openxmlformats.org/officeDocument/2006/relationships/hyperlink" Target="https://en.wikipedia.org/wiki/Narendra_Modi" TargetMode="External"/><Relationship Id="rId18" Type="http://schemas.openxmlformats.org/officeDocument/2006/relationships/hyperlink" Target="https://en.wikipedia.org/wiki/Terror_cell" TargetMode="External"/><Relationship Id="rId3" Type="http://schemas.openxmlformats.org/officeDocument/2006/relationships/webSettings" Target="webSettings.xml"/><Relationship Id="rId21" Type="http://schemas.openxmlformats.org/officeDocument/2006/relationships/hyperlink" Target="https://en.wikipedia.org/wiki/Mohamed_bin_Zayed_University_of_Artificial_Intelligence" TargetMode="External"/><Relationship Id="rId7" Type="http://schemas.openxmlformats.org/officeDocument/2006/relationships/hyperlink" Target="https://en.wikipedia.org/wiki/Middle_East_Forum" TargetMode="External"/><Relationship Id="rId12" Type="http://schemas.openxmlformats.org/officeDocument/2006/relationships/hyperlink" Target="https://en.wikipedia.org/wiki/Mohammed_bin_Rashid_Al_Maktoum" TargetMode="External"/><Relationship Id="rId17" Type="http://schemas.openxmlformats.org/officeDocument/2006/relationships/hyperlink" Target="https://en.wikipedia.org/wiki/Hizbul_Mujahidee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n.wikipedia.org/wiki/Khalistan_movement" TargetMode="External"/><Relationship Id="rId20" Type="http://schemas.openxmlformats.org/officeDocument/2006/relationships/hyperlink" Target="https://en.wikipedia.org/wiki/Maitri_(research_station)" TargetMode="External"/><Relationship Id="rId1" Type="http://schemas.openxmlformats.org/officeDocument/2006/relationships/styles" Target="styles.xml"/><Relationship Id="rId6" Type="http://schemas.openxmlformats.org/officeDocument/2006/relationships/hyperlink" Target="https://en.wikipedia.org/wiki/BAPS_Hindu_Mandir_Abu_Dhabi" TargetMode="External"/><Relationship Id="rId11" Type="http://schemas.openxmlformats.org/officeDocument/2006/relationships/hyperlink" Target="https://en.wikipedia.org/wiki/Indian_Coast_Guard" TargetMode="External"/><Relationship Id="rId24" Type="http://schemas.openxmlformats.org/officeDocument/2006/relationships/fontTable" Target="fontTable.xml"/><Relationship Id="rId5" Type="http://schemas.openxmlformats.org/officeDocument/2006/relationships/hyperlink" Target="https://en.wikipedia.org/wiki/Mohamed_bin_Zayed_Al_Nahyan" TargetMode="External"/><Relationship Id="rId15" Type="http://schemas.openxmlformats.org/officeDocument/2006/relationships/hyperlink" Target="https://en.wikipedia.org/wiki/Inter_Services_Intelligence" TargetMode="External"/><Relationship Id="rId23" Type="http://schemas.openxmlformats.org/officeDocument/2006/relationships/hyperlink" Target="http://www.mea.gov.in" TargetMode="External"/><Relationship Id="rId10" Type="http://schemas.openxmlformats.org/officeDocument/2006/relationships/hyperlink" Target="https://en.wikipedia.org/wiki/India" TargetMode="External"/><Relationship Id="rId19" Type="http://schemas.openxmlformats.org/officeDocument/2006/relationships/hyperlink" Target="https://en.wikipedia.org/wiki/Khalifa_University" TargetMode="External"/><Relationship Id="rId4" Type="http://schemas.openxmlformats.org/officeDocument/2006/relationships/hyperlink" Target="https://en.wikipedia.org/wiki/Narendra_Modi" TargetMode="External"/><Relationship Id="rId9" Type="http://schemas.openxmlformats.org/officeDocument/2006/relationships/hyperlink" Target="https://en.wikipedia.org/wiki/Travel_visa" TargetMode="External"/><Relationship Id="rId14" Type="http://schemas.openxmlformats.org/officeDocument/2006/relationships/hyperlink" Target="https://en.wikipedia.org/wiki/Latifa_bint_Mohammed_Al_Maktoum_(born_1985)" TargetMode="External"/><Relationship Id="rId22" Type="http://schemas.openxmlformats.org/officeDocument/2006/relationships/hyperlink" Target="https://en.wikipedia.org/wiki/Centre_for_Development_of_Advanced_Compu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Biswa Bihari Panigrahi</cp:lastModifiedBy>
  <cp:revision>45</cp:revision>
  <dcterms:created xsi:type="dcterms:W3CDTF">2026-07-08T07:24:00Z</dcterms:created>
  <dcterms:modified xsi:type="dcterms:W3CDTF">2026-07-09T09:19:00Z</dcterms:modified>
</cp:coreProperties>
</file>