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47C5EEDA" w:rsidR="0002717B" w:rsidRPr="00E80C6C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</w:t>
      </w:r>
      <w:proofErr w:type="gramStart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No :</w:t>
      </w:r>
      <w:proofErr w:type="gramEnd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EF33B3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18/07/2025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63839097" w14:textId="2E835732" w:rsidR="00434545" w:rsidRDefault="00434545" w:rsidP="00EF33B3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</w:t>
      </w:r>
      <w:r w:rsidR="00EF33B3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</w:p>
    <w:p w14:paraId="62CFE284" w14:textId="3B3185D5" w:rsidR="00FA5B57" w:rsidRDefault="00F96DB6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Placed below is the Global e-tender </w:t>
      </w:r>
      <w:r w:rsidR="00EF33B3">
        <w:rPr>
          <w:rFonts w:ascii="Bookman Old Style" w:hAnsi="Bookman Old Style" w:cs="Arial"/>
          <w:color w:val="333333"/>
          <w:sz w:val="20"/>
          <w:szCs w:val="20"/>
        </w:rPr>
        <w:t xml:space="preserve"> </w:t>
      </w: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Notice for publication in Indian Trade </w:t>
      </w:r>
      <w:proofErr w:type="gramStart"/>
      <w:r w:rsidRPr="00EF2A8F">
        <w:rPr>
          <w:rFonts w:ascii="Bookman Old Style" w:hAnsi="Bookman Old Style" w:cs="Arial"/>
          <w:color w:val="333333"/>
          <w:sz w:val="20"/>
          <w:szCs w:val="20"/>
        </w:rPr>
        <w:t>Journal .</w:t>
      </w:r>
      <w:proofErr w:type="gramEnd"/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F33B3" w:rsidRPr="005F7E50" w14:paraId="437FB892" w14:textId="77777777" w:rsidTr="001054F7">
        <w:tc>
          <w:tcPr>
            <w:tcW w:w="567" w:type="dxa"/>
          </w:tcPr>
          <w:p w14:paraId="60987752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0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54266AC4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60DAC335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EF33B3" w:rsidRPr="005F7E50" w14:paraId="693BAEFD" w14:textId="77777777" w:rsidTr="001054F7">
        <w:tc>
          <w:tcPr>
            <w:tcW w:w="567" w:type="dxa"/>
          </w:tcPr>
          <w:p w14:paraId="15D89D99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3222A0EB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  <w:shd w:val="clear" w:color="auto" w:fill="auto"/>
          </w:tcPr>
          <w:p w14:paraId="758422E5" w14:textId="77777777" w:rsidR="00EF33B3" w:rsidRPr="008F010B" w:rsidRDefault="00EF33B3" w:rsidP="001054F7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9F6CD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SECL/BSP/MMW/RK/02</w:t>
            </w:r>
          </w:p>
        </w:tc>
      </w:tr>
      <w:tr w:rsidR="00EF33B3" w:rsidRPr="005F7E50" w14:paraId="64959111" w14:textId="77777777" w:rsidTr="001054F7">
        <w:tc>
          <w:tcPr>
            <w:tcW w:w="567" w:type="dxa"/>
          </w:tcPr>
          <w:p w14:paraId="31B50D3B" w14:textId="77777777" w:rsidR="00EF33B3" w:rsidRPr="005F7E50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9C96ACD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  <w:shd w:val="clear" w:color="auto" w:fill="auto"/>
          </w:tcPr>
          <w:p w14:paraId="0F12F033" w14:textId="77777777" w:rsidR="00EF33B3" w:rsidRPr="008F010B" w:rsidRDefault="00EF33B3" w:rsidP="001054F7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15/07/2025</w:t>
            </w:r>
          </w:p>
        </w:tc>
      </w:tr>
      <w:tr w:rsidR="00EF33B3" w:rsidRPr="005F7E50" w14:paraId="22C68A2A" w14:textId="77777777" w:rsidTr="001054F7">
        <w:tc>
          <w:tcPr>
            <w:tcW w:w="567" w:type="dxa"/>
          </w:tcPr>
          <w:p w14:paraId="58EB3063" w14:textId="77777777" w:rsidR="00EF33B3" w:rsidRPr="005F7E50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51AC1F6E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  <w:shd w:val="clear" w:color="auto" w:fill="auto"/>
          </w:tcPr>
          <w:p w14:paraId="533E9427" w14:textId="77777777" w:rsidR="00EF33B3" w:rsidRPr="008F010B" w:rsidRDefault="00EF33B3" w:rsidP="001054F7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>
              <w:rPr>
                <w:rFonts w:ascii="CIDFont+F2" w:eastAsiaTheme="minorHAnsi" w:hAnsi="CIDFont+F2" w:cs="CIDFont+F2"/>
                <w:sz w:val="17"/>
                <w:szCs w:val="17"/>
                <w:lang w:val="en-IN" w:bidi="hi-IN"/>
              </w:rPr>
              <w:t>2025_SECL_339660_1</w:t>
            </w:r>
          </w:p>
        </w:tc>
      </w:tr>
      <w:tr w:rsidR="00EF33B3" w:rsidRPr="005F7E50" w14:paraId="4617C297" w14:textId="77777777" w:rsidTr="001054F7">
        <w:trPr>
          <w:trHeight w:val="257"/>
        </w:trPr>
        <w:tc>
          <w:tcPr>
            <w:tcW w:w="567" w:type="dxa"/>
          </w:tcPr>
          <w:p w14:paraId="35AF399C" w14:textId="77777777" w:rsidR="00EF33B3" w:rsidRPr="005F7E50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1E41F309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  <w:shd w:val="clear" w:color="auto" w:fill="auto"/>
          </w:tcPr>
          <w:p w14:paraId="6315602E" w14:textId="77777777" w:rsidR="00EF33B3" w:rsidRPr="008F010B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SECL-Central Stores, Korba</w:t>
            </w:r>
          </w:p>
        </w:tc>
      </w:tr>
      <w:tr w:rsidR="00EF33B3" w:rsidRPr="005F7E50" w14:paraId="1EBC234D" w14:textId="77777777" w:rsidTr="001054F7">
        <w:tc>
          <w:tcPr>
            <w:tcW w:w="567" w:type="dxa"/>
          </w:tcPr>
          <w:p w14:paraId="1890FAB1" w14:textId="77777777" w:rsidR="00EF33B3" w:rsidRPr="005F7E50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CEE17FE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  <w:shd w:val="clear" w:color="auto" w:fill="auto"/>
          </w:tcPr>
          <w:p w14:paraId="251B2DE3" w14:textId="77777777" w:rsidR="00EF33B3" w:rsidRPr="008F010B" w:rsidRDefault="00EF33B3" w:rsidP="001054F7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Approx.   INR </w:t>
            </w:r>
            <w:r w:rsidRPr="00BE75B0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1,68,278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/-</w:t>
            </w:r>
          </w:p>
        </w:tc>
      </w:tr>
      <w:tr w:rsidR="00EF33B3" w:rsidRPr="005F7E50" w14:paraId="1E0565A0" w14:textId="77777777" w:rsidTr="001054F7">
        <w:trPr>
          <w:trHeight w:val="278"/>
        </w:trPr>
        <w:tc>
          <w:tcPr>
            <w:tcW w:w="567" w:type="dxa"/>
          </w:tcPr>
          <w:p w14:paraId="32A2FF8A" w14:textId="77777777" w:rsidR="00EF33B3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14:paraId="32321E4F" w14:textId="77777777" w:rsidR="00EF33B3" w:rsidRPr="005F7E50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7C199FC" w14:textId="77777777" w:rsidR="00EF33B3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693D37DA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( In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English)</w:t>
            </w:r>
          </w:p>
        </w:tc>
        <w:tc>
          <w:tcPr>
            <w:tcW w:w="6469" w:type="dxa"/>
            <w:shd w:val="clear" w:color="auto" w:fill="auto"/>
          </w:tcPr>
          <w:p w14:paraId="6C94A832" w14:textId="77777777" w:rsidR="00EF33B3" w:rsidRPr="008F010B" w:rsidRDefault="00EF33B3" w:rsidP="001054F7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 w:rsidRPr="00174733">
              <w:t>Procurement of COOLER MOTOR for L and T make 300CK Hydraulic Excavator through OEM/OPM/OES only.</w:t>
            </w:r>
          </w:p>
        </w:tc>
      </w:tr>
      <w:tr w:rsidR="00EF33B3" w:rsidRPr="005F7E50" w14:paraId="5FBBDAA6" w14:textId="77777777" w:rsidTr="001054F7">
        <w:tc>
          <w:tcPr>
            <w:tcW w:w="567" w:type="dxa"/>
          </w:tcPr>
          <w:p w14:paraId="50186E7C" w14:textId="77777777" w:rsidR="00EF33B3" w:rsidRPr="005F7E50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54537033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2004369C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LINE submission of bid </w:t>
            </w:r>
            <w:r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14:paraId="5CAFCF98" w14:textId="77777777" w:rsidR="00EF33B3" w:rsidRPr="008F010B" w:rsidRDefault="00EF33B3" w:rsidP="001054F7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18/08/</w:t>
            </w:r>
            <w:proofErr w:type="gram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2025 ,</w:t>
            </w:r>
            <w:proofErr w:type="gramEnd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11.00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Hrs</w:t>
            </w:r>
            <w:proofErr w:type="spellEnd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IST</w:t>
            </w:r>
          </w:p>
        </w:tc>
      </w:tr>
      <w:tr w:rsidR="00EF33B3" w:rsidRPr="005F7E50" w14:paraId="13A8806B" w14:textId="77777777" w:rsidTr="001054F7">
        <w:tc>
          <w:tcPr>
            <w:tcW w:w="567" w:type="dxa"/>
          </w:tcPr>
          <w:p w14:paraId="44C009BE" w14:textId="77777777" w:rsidR="00EF33B3" w:rsidRPr="005F7E50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16428608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  <w:shd w:val="clear" w:color="auto" w:fill="auto"/>
          </w:tcPr>
          <w:p w14:paraId="111CA9BD" w14:textId="77777777" w:rsidR="00EF33B3" w:rsidRPr="008F010B" w:rsidRDefault="00EF33B3" w:rsidP="001054F7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19/08/</w:t>
            </w:r>
            <w:proofErr w:type="gram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2025 </w:t>
            </w:r>
            <w:r w:rsidRPr="005F1BF2">
              <w:rPr>
                <w:rFonts w:ascii="Bookman Old Style" w:hAnsi="Bookman Old Style" w:cs="Arial"/>
                <w:sz w:val="19"/>
                <w:szCs w:val="19"/>
              </w:rPr>
              <w:t>,</w:t>
            </w:r>
            <w:proofErr w:type="gramEnd"/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11.00 </w:t>
            </w:r>
            <w:proofErr w:type="spellStart"/>
            <w:r w:rsidRPr="005F1BF2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IST</w:t>
            </w:r>
          </w:p>
        </w:tc>
      </w:tr>
      <w:tr w:rsidR="00EF33B3" w:rsidRPr="005F7E50" w14:paraId="083DC812" w14:textId="77777777" w:rsidTr="001054F7">
        <w:tc>
          <w:tcPr>
            <w:tcW w:w="567" w:type="dxa"/>
          </w:tcPr>
          <w:p w14:paraId="42534AA9" w14:textId="77777777" w:rsidR="00EF33B3" w:rsidRPr="005F7E50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1063FB4E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66ACA4DE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EF33B3" w:rsidRPr="005F7E50" w14:paraId="4E8F43C8" w14:textId="77777777" w:rsidTr="001054F7">
        <w:tc>
          <w:tcPr>
            <w:tcW w:w="567" w:type="dxa"/>
          </w:tcPr>
          <w:p w14:paraId="453111D6" w14:textId="77777777" w:rsidR="00EF33B3" w:rsidRPr="005F7E50" w:rsidRDefault="00EF33B3" w:rsidP="001054F7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</w:p>
        </w:tc>
        <w:tc>
          <w:tcPr>
            <w:tcW w:w="3544" w:type="dxa"/>
          </w:tcPr>
          <w:p w14:paraId="06861A88" w14:textId="77777777" w:rsidR="00EF33B3" w:rsidRPr="005F7E50" w:rsidRDefault="00EF33B3" w:rsidP="001054F7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61B49A70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68959C04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  <w:bookmarkEnd w:id="0"/>
    </w:tbl>
    <w:p w14:paraId="75E801C2" w14:textId="77777777" w:rsidR="00EF33B3" w:rsidRPr="00EF2A8F" w:rsidRDefault="00EF33B3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</w:p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70312DC5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in regard to online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bidding  you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1A5ADC90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08DC6FB1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spellStart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DeDeputy</w:t>
            </w:r>
            <w:proofErr w:type="spellEnd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B3BF9BE" w14:textId="77777777" w:rsidR="00971992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</w:p>
    <w:p w14:paraId="210A31A1" w14:textId="3441A397" w:rsidR="00434545" w:rsidRPr="00434545" w:rsidRDefault="00EF33B3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proofErr w:type="gramStart"/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Chief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Manager</w:t>
      </w:r>
      <w:proofErr w:type="gramEnd"/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(MM)</w:t>
      </w:r>
    </w:p>
    <w:p w14:paraId="77ACD765" w14:textId="48B14E19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Notice Board, SECL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Bilaspur.</w:t>
      </w:r>
      <w:r w:rsidR="00F666C6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</w:t>
      </w:r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</w:t>
      </w:r>
      <w:proofErr w:type="spellStart"/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</w:t>
      </w:r>
    </w:p>
    <w:p w14:paraId="1C45078B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GM (MM), BCCL, CCL, ECL,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WCL,NCL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A81B" w14:textId="77777777" w:rsidR="00943017" w:rsidRDefault="00943017" w:rsidP="00434545">
      <w:pPr>
        <w:spacing w:after="0" w:line="240" w:lineRule="auto"/>
      </w:pPr>
      <w:r>
        <w:separator/>
      </w:r>
    </w:p>
  </w:endnote>
  <w:endnote w:type="continuationSeparator" w:id="0">
    <w:p w14:paraId="6CB10E65" w14:textId="77777777" w:rsidR="00943017" w:rsidRDefault="00943017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A64A" w14:textId="77777777" w:rsidR="00943017" w:rsidRDefault="00943017" w:rsidP="00434545">
      <w:pPr>
        <w:spacing w:after="0" w:line="240" w:lineRule="auto"/>
      </w:pPr>
      <w:r>
        <w:separator/>
      </w:r>
    </w:p>
  </w:footnote>
  <w:footnote w:type="continuationSeparator" w:id="0">
    <w:p w14:paraId="241C088C" w14:textId="77777777" w:rsidR="00943017" w:rsidRDefault="00943017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Street">
            <w:smartTag w:uri="urn:schemas-microsoft-com:office:smarttags" w:element="address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54413"/>
    <w:rsid w:val="00143A1D"/>
    <w:rsid w:val="0018394B"/>
    <w:rsid w:val="001C0DAC"/>
    <w:rsid w:val="00201B27"/>
    <w:rsid w:val="00215D09"/>
    <w:rsid w:val="002747D9"/>
    <w:rsid w:val="002E590A"/>
    <w:rsid w:val="003079CC"/>
    <w:rsid w:val="003277D9"/>
    <w:rsid w:val="003B7298"/>
    <w:rsid w:val="00433D5D"/>
    <w:rsid w:val="00434545"/>
    <w:rsid w:val="004C3492"/>
    <w:rsid w:val="004E33AB"/>
    <w:rsid w:val="00525ED2"/>
    <w:rsid w:val="005E32DA"/>
    <w:rsid w:val="005E7AFB"/>
    <w:rsid w:val="005F7E50"/>
    <w:rsid w:val="006B29E4"/>
    <w:rsid w:val="00707D6B"/>
    <w:rsid w:val="00710B49"/>
    <w:rsid w:val="007572AA"/>
    <w:rsid w:val="007714D3"/>
    <w:rsid w:val="00787217"/>
    <w:rsid w:val="0083319F"/>
    <w:rsid w:val="008A3904"/>
    <w:rsid w:val="00900D0E"/>
    <w:rsid w:val="0090135A"/>
    <w:rsid w:val="00930533"/>
    <w:rsid w:val="00943017"/>
    <w:rsid w:val="00971992"/>
    <w:rsid w:val="009A4E41"/>
    <w:rsid w:val="00A53B49"/>
    <w:rsid w:val="00B42A76"/>
    <w:rsid w:val="00B60CFE"/>
    <w:rsid w:val="00B679EE"/>
    <w:rsid w:val="00BB00EA"/>
    <w:rsid w:val="00C47515"/>
    <w:rsid w:val="00CB1223"/>
    <w:rsid w:val="00CB696F"/>
    <w:rsid w:val="00CD2864"/>
    <w:rsid w:val="00D0477C"/>
    <w:rsid w:val="00D518CB"/>
    <w:rsid w:val="00D94CB4"/>
    <w:rsid w:val="00E0365B"/>
    <w:rsid w:val="00E80C6C"/>
    <w:rsid w:val="00EB2DA1"/>
    <w:rsid w:val="00EF2A8F"/>
    <w:rsid w:val="00EF33B3"/>
    <w:rsid w:val="00F046A9"/>
    <w:rsid w:val="00F46F7F"/>
    <w:rsid w:val="00F666C6"/>
    <w:rsid w:val="00F96DB6"/>
    <w:rsid w:val="00FA5B57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40</cp:revision>
  <cp:lastPrinted>2025-07-19T04:59:00Z</cp:lastPrinted>
  <dcterms:created xsi:type="dcterms:W3CDTF">2022-06-08T05:24:00Z</dcterms:created>
  <dcterms:modified xsi:type="dcterms:W3CDTF">2025-07-19T05:26:00Z</dcterms:modified>
</cp:coreProperties>
</file>